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3794"/>
        <w:gridCol w:w="5670"/>
      </w:tblGrid>
      <w:tr w:rsidR="00E60532" w:rsidRPr="00E60532" w:rsidTr="00E11799">
        <w:trPr>
          <w:trHeight w:val="1237"/>
        </w:trPr>
        <w:tc>
          <w:tcPr>
            <w:tcW w:w="3794" w:type="dxa"/>
          </w:tcPr>
          <w:p w:rsidR="002577D9" w:rsidRPr="00236433" w:rsidRDefault="002577D9" w:rsidP="00E11799">
            <w:pPr>
              <w:jc w:val="center"/>
              <w:rPr>
                <w:b/>
                <w:color w:val="000000" w:themeColor="text1"/>
                <w:sz w:val="26"/>
                <w:szCs w:val="26"/>
              </w:rPr>
            </w:pPr>
            <w:r w:rsidRPr="00236433">
              <w:rPr>
                <w:b/>
                <w:color w:val="000000" w:themeColor="text1"/>
                <w:sz w:val="26"/>
                <w:szCs w:val="26"/>
              </w:rPr>
              <w:t>NGÂN HÀNG NHÀ NƯỚC</w:t>
            </w:r>
          </w:p>
          <w:p w:rsidR="002577D9" w:rsidRPr="00236433" w:rsidRDefault="002577D9" w:rsidP="00E11799">
            <w:pPr>
              <w:spacing w:before="60"/>
              <w:jc w:val="center"/>
              <w:rPr>
                <w:b/>
                <w:color w:val="000000" w:themeColor="text1"/>
                <w:sz w:val="26"/>
                <w:szCs w:val="26"/>
              </w:rPr>
            </w:pPr>
            <w:r w:rsidRPr="00236433">
              <w:rPr>
                <w:b/>
                <w:color w:val="000000" w:themeColor="text1"/>
                <w:sz w:val="26"/>
                <w:szCs w:val="26"/>
              </w:rPr>
              <w:t>VIỆT NAM</w:t>
            </w:r>
          </w:p>
          <w:p w:rsidR="002577D9" w:rsidRPr="00236433" w:rsidRDefault="002577D9" w:rsidP="00E11799">
            <w:pPr>
              <w:jc w:val="center"/>
              <w:rPr>
                <w:b/>
                <w:color w:val="000000" w:themeColor="text1"/>
              </w:rPr>
            </w:pPr>
            <w:r w:rsidRPr="00236433">
              <w:rPr>
                <w:noProof/>
                <w:color w:val="000000" w:themeColor="text1"/>
                <w:sz w:val="18"/>
                <w:szCs w:val="18"/>
              </w:rPr>
              <mc:AlternateContent>
                <mc:Choice Requires="wps">
                  <w:drawing>
                    <wp:anchor distT="0" distB="0" distL="114300" distR="114300" simplePos="0" relativeHeight="251660288" behindDoc="0" locked="0" layoutInCell="1" allowOverlap="1" wp14:anchorId="475B3A19" wp14:editId="11D09F3C">
                      <wp:simplePos x="0" y="0"/>
                      <wp:positionH relativeFrom="column">
                        <wp:posOffset>779780</wp:posOffset>
                      </wp:positionH>
                      <wp:positionV relativeFrom="paragraph">
                        <wp:posOffset>41275</wp:posOffset>
                      </wp:positionV>
                      <wp:extent cx="715010" cy="0"/>
                      <wp:effectExtent l="13970"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E051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3.25pt" to="117.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opGw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"/>
                  </w:pict>
                </mc:Fallback>
              </mc:AlternateContent>
            </w:r>
          </w:p>
          <w:p w:rsidR="002577D9" w:rsidRPr="00236433" w:rsidRDefault="002577D9">
            <w:pPr>
              <w:jc w:val="center"/>
              <w:rPr>
                <w:color w:val="000000" w:themeColor="text1"/>
                <w:sz w:val="26"/>
                <w:szCs w:val="26"/>
              </w:rPr>
            </w:pPr>
            <w:r w:rsidRPr="00236433">
              <w:rPr>
                <w:color w:val="000000" w:themeColor="text1"/>
                <w:sz w:val="26"/>
                <w:szCs w:val="26"/>
              </w:rPr>
              <w:t>Số:</w:t>
            </w:r>
            <w:r w:rsidR="008517FD">
              <w:rPr>
                <w:color w:val="000000" w:themeColor="text1"/>
                <w:sz w:val="26"/>
                <w:szCs w:val="26"/>
              </w:rPr>
              <w:t xml:space="preserve">  13</w:t>
            </w:r>
            <w:r w:rsidRPr="00236433">
              <w:rPr>
                <w:color w:val="000000" w:themeColor="text1"/>
                <w:sz w:val="26"/>
                <w:szCs w:val="26"/>
              </w:rPr>
              <w:t>/2024/TT-NHNN</w:t>
            </w:r>
          </w:p>
        </w:tc>
        <w:tc>
          <w:tcPr>
            <w:tcW w:w="5670" w:type="dxa"/>
          </w:tcPr>
          <w:p w:rsidR="002577D9" w:rsidRPr="00236433" w:rsidRDefault="002577D9" w:rsidP="00E11799">
            <w:pPr>
              <w:tabs>
                <w:tab w:val="center" w:pos="2755"/>
              </w:tabs>
              <w:ind w:left="-108"/>
              <w:rPr>
                <w:b/>
                <w:color w:val="000000" w:themeColor="text1"/>
                <w:sz w:val="26"/>
                <w:szCs w:val="26"/>
              </w:rPr>
            </w:pPr>
            <w:r w:rsidRPr="00236433">
              <w:rPr>
                <w:b/>
                <w:color w:val="000000" w:themeColor="text1"/>
                <w:sz w:val="26"/>
                <w:szCs w:val="26"/>
              </w:rPr>
              <w:t>CỘNG HÒA XÃ HỘI CHỦ NGHĨA VIỆT NAM</w:t>
            </w:r>
          </w:p>
          <w:p w:rsidR="002577D9" w:rsidRPr="00236433" w:rsidRDefault="002577D9" w:rsidP="00E11799">
            <w:pPr>
              <w:jc w:val="center"/>
              <w:rPr>
                <w:b/>
                <w:color w:val="000000" w:themeColor="text1"/>
                <w:sz w:val="28"/>
                <w:szCs w:val="28"/>
              </w:rPr>
            </w:pPr>
            <w:r w:rsidRPr="00236433">
              <w:rPr>
                <w:b/>
                <w:color w:val="000000" w:themeColor="text1"/>
                <w:sz w:val="28"/>
                <w:szCs w:val="28"/>
              </w:rPr>
              <w:t>Độc lập – Tự do – Hạnh phúc</w:t>
            </w:r>
          </w:p>
          <w:p w:rsidR="002577D9" w:rsidRPr="00236433" w:rsidRDefault="002577D9" w:rsidP="00E11799">
            <w:pPr>
              <w:jc w:val="center"/>
              <w:rPr>
                <w:color w:val="000000" w:themeColor="text1"/>
              </w:rPr>
            </w:pPr>
            <w:r w:rsidRPr="00236433">
              <w:rPr>
                <w:noProof/>
                <w:color w:val="000000" w:themeColor="text1"/>
                <w:sz w:val="18"/>
                <w:szCs w:val="18"/>
              </w:rPr>
              <mc:AlternateContent>
                <mc:Choice Requires="wps">
                  <w:drawing>
                    <wp:anchor distT="0" distB="0" distL="114300" distR="114300" simplePos="0" relativeHeight="251661312" behindDoc="0" locked="0" layoutInCell="1" allowOverlap="1" wp14:anchorId="4DB7BDF8" wp14:editId="1CFFAAC1">
                      <wp:simplePos x="0" y="0"/>
                      <wp:positionH relativeFrom="column">
                        <wp:posOffset>638810</wp:posOffset>
                      </wp:positionH>
                      <wp:positionV relativeFrom="paragraph">
                        <wp:posOffset>34290</wp:posOffset>
                      </wp:positionV>
                      <wp:extent cx="2152650"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09D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7pt" to="21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"/>
                  </w:pict>
                </mc:Fallback>
              </mc:AlternateContent>
            </w:r>
            <w:r w:rsidRPr="00236433">
              <w:rPr>
                <w:color w:val="000000" w:themeColor="text1"/>
              </w:rPr>
              <w:t xml:space="preserve">  </w:t>
            </w:r>
          </w:p>
          <w:p w:rsidR="002577D9" w:rsidRPr="00236433" w:rsidRDefault="002577D9">
            <w:pPr>
              <w:jc w:val="center"/>
              <w:rPr>
                <w:color w:val="000000" w:themeColor="text1"/>
                <w:sz w:val="28"/>
                <w:szCs w:val="28"/>
              </w:rPr>
            </w:pPr>
            <w:r w:rsidRPr="00236433">
              <w:rPr>
                <w:i/>
                <w:color w:val="000000" w:themeColor="text1"/>
                <w:sz w:val="28"/>
                <w:szCs w:val="28"/>
              </w:rPr>
              <w:t xml:space="preserve">         Hà Nội, ngày  </w:t>
            </w:r>
            <w:r w:rsidR="008517FD">
              <w:rPr>
                <w:i/>
                <w:color w:val="000000" w:themeColor="text1"/>
                <w:sz w:val="28"/>
                <w:szCs w:val="28"/>
              </w:rPr>
              <w:t>28</w:t>
            </w:r>
            <w:r w:rsidRPr="00236433">
              <w:rPr>
                <w:i/>
                <w:color w:val="000000" w:themeColor="text1"/>
                <w:sz w:val="28"/>
                <w:szCs w:val="28"/>
              </w:rPr>
              <w:t xml:space="preserve">  tháng </w:t>
            </w:r>
            <w:r w:rsidR="008517FD">
              <w:rPr>
                <w:i/>
                <w:color w:val="000000" w:themeColor="text1"/>
                <w:sz w:val="28"/>
                <w:szCs w:val="28"/>
              </w:rPr>
              <w:t xml:space="preserve"> 6</w:t>
            </w:r>
            <w:r w:rsidRPr="00236433">
              <w:rPr>
                <w:i/>
                <w:color w:val="000000" w:themeColor="text1"/>
                <w:sz w:val="28"/>
                <w:szCs w:val="28"/>
              </w:rPr>
              <w:t xml:space="preserve">  năm 2024</w:t>
            </w:r>
          </w:p>
        </w:tc>
      </w:tr>
    </w:tbl>
    <w:p w:rsidR="002577D9" w:rsidRPr="00236433" w:rsidRDefault="002577D9" w:rsidP="00236433">
      <w:pPr>
        <w:spacing w:before="240"/>
        <w:jc w:val="center"/>
        <w:rPr>
          <w:b/>
          <w:color w:val="000000" w:themeColor="text1"/>
          <w:sz w:val="28"/>
          <w:szCs w:val="28"/>
        </w:rPr>
      </w:pPr>
      <w:bookmarkStart w:id="0" w:name="loai_1"/>
      <w:bookmarkStart w:id="1" w:name="_GoBack"/>
      <w:bookmarkEnd w:id="1"/>
    </w:p>
    <w:p w:rsidR="002577D9" w:rsidRPr="00236433" w:rsidRDefault="002577D9" w:rsidP="00236433">
      <w:pPr>
        <w:spacing w:before="60" w:after="60" w:line="276" w:lineRule="auto"/>
        <w:jc w:val="center"/>
        <w:rPr>
          <w:b/>
          <w:color w:val="000000" w:themeColor="text1"/>
          <w:sz w:val="28"/>
          <w:szCs w:val="28"/>
        </w:rPr>
      </w:pPr>
      <w:r w:rsidRPr="00236433">
        <w:rPr>
          <w:b/>
          <w:color w:val="000000" w:themeColor="text1"/>
          <w:sz w:val="28"/>
          <w:szCs w:val="28"/>
        </w:rPr>
        <w:t>THÔNG TƯ</w:t>
      </w:r>
    </w:p>
    <w:p w:rsidR="00E218F2" w:rsidRPr="00236433" w:rsidRDefault="002577D9" w:rsidP="00236433">
      <w:pPr>
        <w:spacing w:line="276" w:lineRule="auto"/>
        <w:jc w:val="center"/>
        <w:rPr>
          <w:b/>
          <w:color w:val="000000" w:themeColor="text1"/>
          <w:sz w:val="28"/>
          <w:szCs w:val="28"/>
        </w:rPr>
      </w:pPr>
      <w:bookmarkStart w:id="2" w:name="loai_1_name"/>
      <w:bookmarkEnd w:id="0"/>
      <w:r w:rsidRPr="00236433">
        <w:rPr>
          <w:b/>
          <w:color w:val="000000" w:themeColor="text1"/>
          <w:sz w:val="28"/>
          <w:szCs w:val="28"/>
        </w:rPr>
        <w:t xml:space="preserve">Sửa đổi, bổ sung một số điều của Thông tư số 32/2015/TT-NHNN </w:t>
      </w:r>
    </w:p>
    <w:p w:rsidR="00E218F2" w:rsidRPr="00236433" w:rsidRDefault="002577D9" w:rsidP="00236433">
      <w:pPr>
        <w:spacing w:line="276" w:lineRule="auto"/>
        <w:jc w:val="center"/>
        <w:rPr>
          <w:b/>
          <w:color w:val="000000" w:themeColor="text1"/>
          <w:sz w:val="28"/>
          <w:szCs w:val="28"/>
        </w:rPr>
      </w:pPr>
      <w:r w:rsidRPr="00236433">
        <w:rPr>
          <w:b/>
          <w:color w:val="000000" w:themeColor="text1"/>
          <w:sz w:val="28"/>
          <w:szCs w:val="28"/>
        </w:rPr>
        <w:t xml:space="preserve">ngày </w:t>
      </w:r>
      <w:r w:rsidR="00E218F2" w:rsidRPr="00236433">
        <w:rPr>
          <w:b/>
          <w:bCs/>
          <w:color w:val="000000" w:themeColor="text1"/>
          <w:sz w:val="28"/>
          <w:szCs w:val="28"/>
        </w:rPr>
        <w:t xml:space="preserve">31 tháng 12 năm 2015 </w:t>
      </w:r>
      <w:r w:rsidRPr="00236433">
        <w:rPr>
          <w:b/>
          <w:color w:val="000000" w:themeColor="text1"/>
          <w:sz w:val="28"/>
          <w:szCs w:val="28"/>
        </w:rPr>
        <w:t xml:space="preserve">của Thống đốc Ngân hàng Nhà nước </w:t>
      </w:r>
    </w:p>
    <w:p w:rsidR="00E218F2" w:rsidRPr="00236433" w:rsidRDefault="002577D9" w:rsidP="00236433">
      <w:pPr>
        <w:spacing w:line="276" w:lineRule="auto"/>
        <w:jc w:val="center"/>
        <w:rPr>
          <w:b/>
          <w:color w:val="000000" w:themeColor="text1"/>
          <w:sz w:val="28"/>
          <w:szCs w:val="28"/>
        </w:rPr>
      </w:pPr>
      <w:r w:rsidRPr="00236433">
        <w:rPr>
          <w:b/>
          <w:color w:val="000000" w:themeColor="text1"/>
          <w:sz w:val="28"/>
          <w:szCs w:val="28"/>
        </w:rPr>
        <w:t xml:space="preserve">Việt Nam </w:t>
      </w:r>
      <w:r w:rsidR="00CA74D2" w:rsidRPr="00236433">
        <w:rPr>
          <w:b/>
          <w:color w:val="000000" w:themeColor="text1"/>
          <w:sz w:val="28"/>
          <w:szCs w:val="28"/>
        </w:rPr>
        <w:t xml:space="preserve">quy định </w:t>
      </w:r>
      <w:r w:rsidRPr="00236433">
        <w:rPr>
          <w:b/>
          <w:color w:val="000000" w:themeColor="text1"/>
          <w:sz w:val="28"/>
          <w:szCs w:val="28"/>
        </w:rPr>
        <w:t xml:space="preserve">các giới hạn, tỷ lệ bảo đảm an toàn trong </w:t>
      </w:r>
    </w:p>
    <w:p w:rsidR="00E218F2" w:rsidRPr="00236433" w:rsidRDefault="002577D9" w:rsidP="00236433">
      <w:pPr>
        <w:spacing w:line="276" w:lineRule="auto"/>
        <w:jc w:val="center"/>
        <w:rPr>
          <w:b/>
          <w:color w:val="000000" w:themeColor="text1"/>
          <w:sz w:val="28"/>
          <w:szCs w:val="28"/>
        </w:rPr>
      </w:pPr>
      <w:r w:rsidRPr="00236433">
        <w:rPr>
          <w:b/>
          <w:color w:val="000000" w:themeColor="text1"/>
          <w:sz w:val="28"/>
          <w:szCs w:val="28"/>
        </w:rPr>
        <w:t>hoạt động của quỹ tín dụng nhân dân</w:t>
      </w:r>
    </w:p>
    <w:p w:rsidR="002577D9" w:rsidRPr="00236433" w:rsidRDefault="00137F70" w:rsidP="00236433">
      <w:pPr>
        <w:spacing w:line="276" w:lineRule="auto"/>
        <w:jc w:val="center"/>
        <w:rPr>
          <w:b/>
          <w:color w:val="000000" w:themeColor="text1"/>
          <w:sz w:val="28"/>
          <w:szCs w:val="28"/>
        </w:rPr>
      </w:pPr>
      <w:r w:rsidRPr="00236433">
        <w:rPr>
          <w:b/>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2301672</wp:posOffset>
                </wp:positionH>
                <wp:positionV relativeFrom="paragraph">
                  <wp:posOffset>43180</wp:posOffset>
                </wp:positionV>
                <wp:extent cx="1147864" cy="9727"/>
                <wp:effectExtent l="0" t="0" r="33655" b="28575"/>
                <wp:wrapNone/>
                <wp:docPr id="5" name="Straight Connector 5"/>
                <wp:cNvGraphicFramePr/>
                <a:graphic xmlns:a="http://schemas.openxmlformats.org/drawingml/2006/main">
                  <a:graphicData uri="http://schemas.microsoft.com/office/word/2010/wordprocessingShape">
                    <wps:wsp>
                      <wps:cNvCnPr/>
                      <wps:spPr>
                        <a:xfrm flipV="1">
                          <a:off x="0" y="0"/>
                          <a:ext cx="1147864" cy="97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C37D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5pt,3.4pt" to="271.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" strokecolor="black [3213]"/>
            </w:pict>
          </mc:Fallback>
        </mc:AlternateContent>
      </w:r>
    </w:p>
    <w:bookmarkEnd w:id="2"/>
    <w:p w:rsidR="002577D9" w:rsidRPr="00236433" w:rsidRDefault="002577D9" w:rsidP="002577D9">
      <w:pPr>
        <w:spacing w:before="120"/>
        <w:ind w:firstLine="720"/>
        <w:jc w:val="both"/>
        <w:rPr>
          <w:i/>
          <w:color w:val="000000" w:themeColor="text1"/>
          <w:sz w:val="28"/>
          <w:szCs w:val="28"/>
        </w:rPr>
      </w:pPr>
      <w:r w:rsidRPr="00236433">
        <w:rPr>
          <w:i/>
          <w:color w:val="000000" w:themeColor="text1"/>
          <w:sz w:val="28"/>
          <w:szCs w:val="28"/>
        </w:rPr>
        <w:t>Căn cứ Luật Ngân hàng Nhà nước Việt Nam ngày 16 tháng 6 năm 2010;</w:t>
      </w:r>
    </w:p>
    <w:p w:rsidR="002577D9" w:rsidRPr="00236433" w:rsidRDefault="002577D9" w:rsidP="002577D9">
      <w:pPr>
        <w:spacing w:before="120"/>
        <w:ind w:firstLine="720"/>
        <w:jc w:val="both"/>
        <w:rPr>
          <w:i/>
          <w:color w:val="000000" w:themeColor="text1"/>
          <w:sz w:val="28"/>
          <w:szCs w:val="28"/>
        </w:rPr>
      </w:pPr>
      <w:r w:rsidRPr="00236433">
        <w:rPr>
          <w:i/>
          <w:color w:val="000000" w:themeColor="text1"/>
          <w:sz w:val="28"/>
          <w:szCs w:val="28"/>
        </w:rPr>
        <w:t>Căn cứ Luật Các tổ chức tín dụng ngày 18 tháng 01 năm 2024;</w:t>
      </w:r>
    </w:p>
    <w:p w:rsidR="002577D9" w:rsidRPr="00236433" w:rsidRDefault="002577D9" w:rsidP="002577D9">
      <w:pPr>
        <w:spacing w:before="120"/>
        <w:ind w:firstLine="720"/>
        <w:jc w:val="both"/>
        <w:rPr>
          <w:color w:val="000000" w:themeColor="text1"/>
          <w:sz w:val="28"/>
          <w:szCs w:val="28"/>
        </w:rPr>
      </w:pPr>
      <w:r w:rsidRPr="00236433">
        <w:rPr>
          <w:i/>
          <w:iCs/>
          <w:color w:val="000000" w:themeColor="text1"/>
          <w:sz w:val="28"/>
          <w:szCs w:val="28"/>
        </w:rPr>
        <w:t xml:space="preserve">Căn cứ Nghị định số </w:t>
      </w:r>
      <w:bookmarkStart w:id="3" w:name="tvpllink_lfmjmyvcvr"/>
      <w:r w:rsidRPr="00236433">
        <w:rPr>
          <w:i/>
          <w:iCs/>
          <w:color w:val="000000" w:themeColor="text1"/>
          <w:sz w:val="28"/>
          <w:szCs w:val="28"/>
        </w:rPr>
        <w:t>102/2022/NĐ-CP</w:t>
      </w:r>
      <w:bookmarkEnd w:id="3"/>
      <w:r w:rsidRPr="00236433">
        <w:rPr>
          <w:i/>
          <w:iCs/>
          <w:color w:val="000000" w:themeColor="text1"/>
          <w:sz w:val="28"/>
          <w:szCs w:val="28"/>
        </w:rPr>
        <w:t xml:space="preserve"> ngày 12 tháng 12 năm 2022 của Chính phủ quy định chức năng, nhiệm vụ, quyền hạn và cơ cấu tổ chức của Ngân hàng Nhà nước Việt Nam;</w:t>
      </w:r>
    </w:p>
    <w:p w:rsidR="002577D9" w:rsidRPr="00236433" w:rsidRDefault="002577D9" w:rsidP="002577D9">
      <w:pPr>
        <w:spacing w:before="120"/>
        <w:ind w:firstLine="720"/>
        <w:jc w:val="both"/>
        <w:rPr>
          <w:i/>
          <w:color w:val="000000" w:themeColor="text1"/>
          <w:sz w:val="28"/>
          <w:szCs w:val="28"/>
        </w:rPr>
      </w:pPr>
      <w:r w:rsidRPr="00236433">
        <w:rPr>
          <w:i/>
          <w:color w:val="000000" w:themeColor="text1"/>
          <w:sz w:val="28"/>
          <w:szCs w:val="28"/>
        </w:rPr>
        <w:t>Theo đề nghị của Chánh Thanh tra, giám sát ngân hàng;</w:t>
      </w:r>
    </w:p>
    <w:p w:rsidR="00CA74D2" w:rsidRPr="00236433" w:rsidRDefault="002577D9" w:rsidP="002577D9">
      <w:pPr>
        <w:spacing w:before="120"/>
        <w:ind w:firstLine="720"/>
        <w:jc w:val="both"/>
        <w:rPr>
          <w:i/>
          <w:color w:val="000000" w:themeColor="text1"/>
          <w:sz w:val="28"/>
          <w:szCs w:val="28"/>
        </w:rPr>
      </w:pPr>
      <w:r w:rsidRPr="00236433">
        <w:rPr>
          <w:i/>
          <w:color w:val="000000" w:themeColor="text1"/>
          <w:sz w:val="28"/>
          <w:szCs w:val="28"/>
        </w:rPr>
        <w:t>Thống đốc Ngân hàng Nhà nước Việt Nam ban hành Thông tư sửa đổi, bổ sung một số điều của Thông tư số 32/2015/TT-NHNN ngày 31 tháng 12 năm 2015 của Thống đốc Ngân hàng Nhà nước Việt Nam quy định các giới hạn, tỷ lệ bảo đảm an toàn trong hoạt động của quỹ tín dụng nhân dân</w:t>
      </w:r>
      <w:r w:rsidR="00E108BA" w:rsidRPr="00236433">
        <w:rPr>
          <w:i/>
          <w:color w:val="000000" w:themeColor="text1"/>
          <w:sz w:val="28"/>
          <w:szCs w:val="28"/>
        </w:rPr>
        <w:t>.</w:t>
      </w:r>
    </w:p>
    <w:p w:rsidR="002577D9" w:rsidRPr="00236433" w:rsidRDefault="002577D9" w:rsidP="002577D9">
      <w:pPr>
        <w:spacing w:before="120"/>
        <w:ind w:firstLine="720"/>
        <w:jc w:val="both"/>
        <w:rPr>
          <w:color w:val="000000" w:themeColor="text1"/>
        </w:rPr>
      </w:pPr>
    </w:p>
    <w:p w:rsidR="002577D9" w:rsidRPr="00236433" w:rsidRDefault="002577D9">
      <w:pPr>
        <w:spacing w:after="60" w:line="276" w:lineRule="auto"/>
        <w:ind w:firstLine="720"/>
        <w:jc w:val="both"/>
        <w:rPr>
          <w:rFonts w:asciiTheme="majorHAnsi" w:hAnsiTheme="majorHAnsi" w:cstheme="majorHAnsi"/>
          <w:b/>
          <w:bCs/>
          <w:color w:val="000000" w:themeColor="text1"/>
          <w:sz w:val="28"/>
          <w:szCs w:val="28"/>
        </w:rPr>
      </w:pPr>
      <w:bookmarkStart w:id="4" w:name="dieu_1"/>
      <w:r w:rsidRPr="00236433">
        <w:rPr>
          <w:rFonts w:asciiTheme="majorHAnsi" w:hAnsiTheme="majorHAnsi" w:cstheme="majorHAnsi"/>
          <w:b/>
          <w:bCs/>
          <w:color w:val="000000" w:themeColor="text1"/>
          <w:sz w:val="28"/>
          <w:szCs w:val="28"/>
        </w:rPr>
        <w:t>Điều 1. Sửa đổi, bổ sung một số điều</w:t>
      </w:r>
      <w:r w:rsidR="007946A8" w:rsidRPr="00236433">
        <w:rPr>
          <w:rFonts w:asciiTheme="majorHAnsi" w:hAnsiTheme="majorHAnsi" w:cstheme="majorHAnsi"/>
          <w:b/>
          <w:bCs/>
          <w:color w:val="000000" w:themeColor="text1"/>
          <w:sz w:val="28"/>
          <w:szCs w:val="28"/>
        </w:rPr>
        <w:t xml:space="preserve"> của</w:t>
      </w:r>
      <w:r w:rsidRPr="00236433">
        <w:rPr>
          <w:rFonts w:asciiTheme="majorHAnsi" w:hAnsiTheme="majorHAnsi" w:cstheme="majorHAnsi"/>
          <w:b/>
          <w:bCs/>
          <w:color w:val="000000" w:themeColor="text1"/>
          <w:sz w:val="28"/>
          <w:szCs w:val="28"/>
        </w:rPr>
        <w:t xml:space="preserve"> Thông tư số 32/2015/TT-NHNN ngày 31 tháng 12 năm 2015 của Thống đốc Ngân hàng Nhà nước Việt Nam </w:t>
      </w:r>
      <w:r w:rsidR="00CA74D2" w:rsidRPr="00236433">
        <w:rPr>
          <w:rFonts w:asciiTheme="majorHAnsi" w:hAnsiTheme="majorHAnsi" w:cstheme="majorHAnsi"/>
          <w:b/>
          <w:bCs/>
          <w:color w:val="000000" w:themeColor="text1"/>
          <w:sz w:val="28"/>
          <w:szCs w:val="28"/>
        </w:rPr>
        <w:t xml:space="preserve">quy định </w:t>
      </w:r>
      <w:r w:rsidRPr="00236433">
        <w:rPr>
          <w:rFonts w:asciiTheme="majorHAnsi" w:hAnsiTheme="majorHAnsi" w:cstheme="majorHAnsi"/>
          <w:b/>
          <w:bCs/>
          <w:color w:val="000000" w:themeColor="text1"/>
          <w:sz w:val="28"/>
          <w:szCs w:val="28"/>
        </w:rPr>
        <w:t>các giới hạn, tỷ lệ bảo đảm an toàn trong hoạt động của quỹ tín dụng nhân dân:</w:t>
      </w:r>
      <w:r w:rsidR="00E218F2" w:rsidRPr="00236433">
        <w:rPr>
          <w:rFonts w:asciiTheme="majorHAnsi" w:hAnsiTheme="majorHAnsi" w:cstheme="majorHAnsi"/>
          <w:b/>
          <w:bCs/>
          <w:color w:val="000000" w:themeColor="text1"/>
          <w:sz w:val="28"/>
          <w:szCs w:val="28"/>
        </w:rPr>
        <w:t xml:space="preserve"> </w:t>
      </w:r>
    </w:p>
    <w:p w:rsidR="002577D9" w:rsidRPr="00236433" w:rsidRDefault="002577D9">
      <w:pPr>
        <w:spacing w:after="60" w:line="276" w:lineRule="auto"/>
        <w:ind w:firstLine="720"/>
        <w:jc w:val="both"/>
        <w:rPr>
          <w:rFonts w:asciiTheme="majorHAnsi" w:hAnsiTheme="majorHAnsi" w:cstheme="majorHAnsi"/>
          <w:bCs/>
          <w:color w:val="000000" w:themeColor="text1"/>
          <w:sz w:val="28"/>
          <w:szCs w:val="28"/>
        </w:rPr>
      </w:pPr>
      <w:r w:rsidRPr="00236433">
        <w:rPr>
          <w:rFonts w:asciiTheme="majorHAnsi" w:hAnsiTheme="majorHAnsi" w:cstheme="majorHAnsi"/>
          <w:bCs/>
          <w:color w:val="000000" w:themeColor="text1"/>
          <w:sz w:val="28"/>
          <w:szCs w:val="28"/>
        </w:rPr>
        <w:t>1. Sửa đổi, bổ sung Điều 1 như sau:</w:t>
      </w:r>
    </w:p>
    <w:p w:rsidR="001B004D" w:rsidRPr="00236433" w:rsidRDefault="0061628C">
      <w:pPr>
        <w:pStyle w:val="NormalWeb"/>
        <w:shd w:val="clear" w:color="auto" w:fill="FFFFFF"/>
        <w:spacing w:before="120" w:beforeAutospacing="0" w:after="120" w:afterAutospacing="0" w:line="234" w:lineRule="atLeast"/>
        <w:ind w:firstLine="720"/>
        <w:jc w:val="both"/>
        <w:rPr>
          <w:rFonts w:asciiTheme="majorHAnsi" w:hAnsiTheme="majorHAnsi" w:cstheme="majorHAnsi"/>
          <w:bCs/>
          <w:color w:val="000000" w:themeColor="text1"/>
          <w:sz w:val="28"/>
          <w:szCs w:val="28"/>
        </w:rPr>
      </w:pPr>
      <w:r w:rsidRPr="00236433">
        <w:rPr>
          <w:rFonts w:asciiTheme="majorHAnsi" w:hAnsiTheme="majorHAnsi" w:cstheme="majorHAnsi"/>
          <w:bCs/>
          <w:color w:val="000000" w:themeColor="text1"/>
          <w:sz w:val="28"/>
          <w:szCs w:val="28"/>
        </w:rPr>
        <w:t>“</w:t>
      </w:r>
      <w:r w:rsidR="001B004D" w:rsidRPr="00236433">
        <w:rPr>
          <w:rFonts w:asciiTheme="majorHAnsi" w:hAnsiTheme="majorHAnsi" w:cstheme="majorHAnsi"/>
          <w:b/>
          <w:bCs/>
          <w:color w:val="000000" w:themeColor="text1"/>
          <w:sz w:val="28"/>
          <w:szCs w:val="28"/>
        </w:rPr>
        <w:t>Điều 1. Phạm vi điều chỉnh và đối tượng áp dụng</w:t>
      </w:r>
    </w:p>
    <w:p w:rsidR="0061628C" w:rsidRPr="00236433" w:rsidRDefault="00E60F5B">
      <w:pPr>
        <w:pStyle w:val="NormalWeb"/>
        <w:shd w:val="clear" w:color="auto" w:fill="FFFFFF"/>
        <w:spacing w:before="120" w:beforeAutospacing="0" w:after="120" w:afterAutospacing="0" w:line="234" w:lineRule="atLeast"/>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1. Thông tư này quy định về các hạn chế, giới hạn, tỷ lệ bảo đảm an toàn trong hoạt động của quỹ tín dụng nhân dân bao gồm:</w:t>
      </w:r>
    </w:p>
    <w:p w:rsidR="0061628C" w:rsidRPr="00236433" w:rsidRDefault="0061628C" w:rsidP="00236433">
      <w:pPr>
        <w:shd w:val="clear" w:color="auto" w:fill="FFFFFF"/>
        <w:spacing w:before="120" w:after="120" w:line="234" w:lineRule="atLeast"/>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a) Tỷ lệ an toàn vốn;</w:t>
      </w:r>
    </w:p>
    <w:p w:rsidR="0061628C" w:rsidRPr="00236433" w:rsidRDefault="0061628C" w:rsidP="00236433">
      <w:pPr>
        <w:shd w:val="clear" w:color="auto" w:fill="FFFFFF"/>
        <w:spacing w:before="120" w:after="120" w:line="234" w:lineRule="atLeast"/>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b) Tỷ lệ khả năng chi trả;</w:t>
      </w:r>
    </w:p>
    <w:p w:rsidR="0061628C" w:rsidRPr="00236433" w:rsidRDefault="0061628C">
      <w:pPr>
        <w:shd w:val="clear" w:color="auto" w:fill="FFFFFF"/>
        <w:spacing w:before="120" w:after="120" w:line="234" w:lineRule="atLeast"/>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c) Tỷ lệ tối đa của nguồn vốn ngắn hạn được sử dụng để cho vay trung hạn và dài hạn;</w:t>
      </w:r>
    </w:p>
    <w:p w:rsidR="0061628C" w:rsidRPr="00236433" w:rsidRDefault="0061628C" w:rsidP="00236433">
      <w:pPr>
        <w:shd w:val="clear" w:color="auto" w:fill="FFFFFF"/>
        <w:spacing w:before="120" w:after="120" w:line="234" w:lineRule="atLeast"/>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 xml:space="preserve">d) </w:t>
      </w:r>
      <w:r w:rsidR="00E60F5B" w:rsidRPr="00236433">
        <w:rPr>
          <w:rFonts w:asciiTheme="majorHAnsi" w:hAnsiTheme="majorHAnsi" w:cstheme="majorHAnsi"/>
          <w:color w:val="000000" w:themeColor="text1"/>
          <w:sz w:val="28"/>
          <w:szCs w:val="28"/>
        </w:rPr>
        <w:t>Hạn chế, g</w:t>
      </w:r>
      <w:r w:rsidRPr="00236433">
        <w:rPr>
          <w:rFonts w:asciiTheme="majorHAnsi" w:hAnsiTheme="majorHAnsi" w:cstheme="majorHAnsi"/>
          <w:color w:val="000000" w:themeColor="text1"/>
          <w:sz w:val="28"/>
          <w:szCs w:val="28"/>
        </w:rPr>
        <w:t>iới hạn cho vay</w:t>
      </w:r>
      <w:r w:rsidR="00E64EB5" w:rsidRPr="00236433">
        <w:rPr>
          <w:rFonts w:asciiTheme="majorHAnsi" w:hAnsiTheme="majorHAnsi" w:cstheme="majorHAnsi"/>
          <w:color w:val="000000" w:themeColor="text1"/>
          <w:sz w:val="28"/>
          <w:szCs w:val="28"/>
        </w:rPr>
        <w:t>;</w:t>
      </w:r>
    </w:p>
    <w:bookmarkEnd w:id="4"/>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 xml:space="preserve">đ) Tỷ lệ tổng mức nhận </w:t>
      </w:r>
      <w:r w:rsidR="00E60F5B" w:rsidRPr="00236433">
        <w:rPr>
          <w:rFonts w:asciiTheme="majorHAnsi" w:hAnsiTheme="majorHAnsi" w:cstheme="majorHAnsi"/>
          <w:color w:val="000000" w:themeColor="text1"/>
          <w:sz w:val="28"/>
          <w:szCs w:val="28"/>
        </w:rPr>
        <w:t>tiền gửi so với vốn chủ sở hữu.</w:t>
      </w:r>
    </w:p>
    <w:p w:rsidR="00EC1A6C" w:rsidRPr="00236433" w:rsidRDefault="007E709E">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shd w:val="clear" w:color="auto" w:fill="FFFFFF"/>
        </w:rPr>
        <w:lastRenderedPageBreak/>
        <w:t>2. Căn cứ kết quả giám sát, thanh tra đối với quỹ tín dụng nhân dân, trong trường hợp cần thiết để bảo đảm an toàn trong hoạt động của quỹ tín dụng nhân dân, tùy theo tính chất, mức độ rủi ro, Ngân hàng Nhà nước chi nhánh tỉnh, thành phố yêu cầu quỹ tín dụng nhân dân duy trì một hoặc một số giới hạn thấp hơn, tỷ lệ bảo đảm an toàn chặt chẽ hơn so với</w:t>
      </w:r>
      <w:r w:rsidR="00723AD4" w:rsidRPr="00236433">
        <w:rPr>
          <w:rFonts w:asciiTheme="majorHAnsi" w:hAnsiTheme="majorHAnsi" w:cstheme="majorHAnsi"/>
          <w:color w:val="000000" w:themeColor="text1"/>
          <w:sz w:val="28"/>
          <w:szCs w:val="28"/>
          <w:shd w:val="clear" w:color="auto" w:fill="FFFFFF"/>
        </w:rPr>
        <w:t xml:space="preserve"> mức quy định tại Thông tư này.</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3. Quỹ tín dụng nhân dân được kiểm soát đặc biệt không phải tuân thủ các giới hạn, tỷ lệ bảo đảm an toàn quy định tại Thông tư này</w:t>
      </w:r>
      <w:r w:rsidR="006B2F54" w:rsidRPr="00236433">
        <w:rPr>
          <w:rFonts w:asciiTheme="majorHAnsi" w:hAnsiTheme="majorHAnsi" w:cstheme="majorHAnsi"/>
          <w:color w:val="000000" w:themeColor="text1"/>
          <w:sz w:val="28"/>
          <w:szCs w:val="28"/>
        </w:rPr>
        <w:t>.</w:t>
      </w:r>
      <w:r w:rsidRPr="00236433">
        <w:rPr>
          <w:rFonts w:asciiTheme="majorHAnsi" w:hAnsiTheme="majorHAnsi" w:cstheme="majorHAnsi"/>
          <w:color w:val="000000" w:themeColor="text1"/>
          <w:sz w:val="28"/>
          <w:szCs w:val="28"/>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 xml:space="preserve">2. Sửa đổi, </w:t>
      </w:r>
      <w:r w:rsidR="002F745A" w:rsidRPr="00236433">
        <w:rPr>
          <w:rFonts w:asciiTheme="majorHAnsi" w:hAnsiTheme="majorHAnsi" w:cstheme="majorHAnsi"/>
          <w:color w:val="000000" w:themeColor="text1"/>
          <w:sz w:val="28"/>
          <w:szCs w:val="28"/>
        </w:rPr>
        <w:t xml:space="preserve">bổ sung khoản 1 </w:t>
      </w:r>
      <w:r w:rsidRPr="00236433">
        <w:rPr>
          <w:rFonts w:asciiTheme="majorHAnsi" w:hAnsiTheme="majorHAnsi" w:cstheme="majorHAnsi"/>
          <w:color w:val="000000" w:themeColor="text1"/>
          <w:sz w:val="28"/>
          <w:szCs w:val="28"/>
        </w:rPr>
        <w:t>Điều 2 như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w:t>
      </w:r>
      <w:r w:rsidR="00056870" w:rsidRPr="00236433">
        <w:rPr>
          <w:rFonts w:asciiTheme="majorHAnsi" w:hAnsiTheme="majorHAnsi" w:cstheme="majorHAnsi"/>
          <w:color w:val="000000" w:themeColor="text1"/>
          <w:sz w:val="28"/>
          <w:szCs w:val="28"/>
        </w:rPr>
        <w:t>1. Khách hàng vay vốn của quỹ tín dụng nhân dân bao gồm thành viên của quỹ tín dụng nhân dân; pháp nhân, cá nhân không phải là thành viên có tiền gửi tại quỹ tín dụng nhân dân; thành viên của hộ nghèo theo quy định của Ngân hàng Nhà nước về quỹ tín dụng nhân dân.</w:t>
      </w:r>
      <w:r w:rsidRPr="00236433">
        <w:rPr>
          <w:rFonts w:asciiTheme="majorHAnsi" w:hAnsiTheme="majorHAnsi" w:cstheme="majorHAnsi"/>
          <w:color w:val="000000" w:themeColor="text1"/>
          <w:sz w:val="28"/>
          <w:szCs w:val="28"/>
        </w:rPr>
        <w:t>”</w:t>
      </w:r>
      <w:r w:rsidR="006B2F54" w:rsidRPr="00236433">
        <w:rPr>
          <w:rFonts w:asciiTheme="majorHAnsi" w:hAnsiTheme="majorHAnsi" w:cstheme="majorHAnsi"/>
          <w:color w:val="000000" w:themeColor="text1"/>
          <w:sz w:val="28"/>
          <w:szCs w:val="28"/>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3. Sửa đổi, bổ sung Điều 3 như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w:t>
      </w:r>
      <w:bookmarkStart w:id="5" w:name="dieu_3"/>
      <w:r w:rsidRPr="00236433">
        <w:rPr>
          <w:rFonts w:asciiTheme="majorHAnsi" w:hAnsiTheme="majorHAnsi" w:cstheme="majorHAnsi"/>
          <w:b/>
          <w:bCs/>
          <w:color w:val="000000" w:themeColor="text1"/>
          <w:sz w:val="28"/>
          <w:szCs w:val="28"/>
        </w:rPr>
        <w:t>Điều 3. Hệ thống công nghệ thông tin</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Quỹ tín dụng nhân dân phải có hệ thống công nghệ thông tin để thực hiện các quy định tại Thông tư này, đảm bảo các yêu cầu tối thiểu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1. Lưu giữ, truy cập, bổ sung cơ sở dữ liệu về khách hàng, bảo đảm quản lý rủi ro theo quy định của Ngân hàng Nhà nước và quy định nội bộ của quỹ tín dụng nhân dân.</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2. Thống kê, theo dõi</w:t>
      </w:r>
      <w:r w:rsidR="0089201E" w:rsidRPr="00236433">
        <w:rPr>
          <w:rFonts w:asciiTheme="majorHAnsi" w:hAnsiTheme="majorHAnsi" w:cstheme="majorHAnsi"/>
          <w:color w:val="000000" w:themeColor="text1"/>
          <w:sz w:val="28"/>
          <w:szCs w:val="28"/>
        </w:rPr>
        <w:t xml:space="preserve"> </w:t>
      </w:r>
      <w:r w:rsidRPr="00236433">
        <w:rPr>
          <w:rFonts w:asciiTheme="majorHAnsi" w:hAnsiTheme="majorHAnsi" w:cstheme="majorHAnsi"/>
          <w:color w:val="000000" w:themeColor="text1"/>
          <w:sz w:val="28"/>
          <w:szCs w:val="28"/>
        </w:rPr>
        <w:t xml:space="preserve">các khoản mục vốn, tài sản, nợ phải trả; tính toán, quản lý, giám sát các </w:t>
      </w:r>
      <w:r w:rsidR="00CA3F57" w:rsidRPr="00236433">
        <w:rPr>
          <w:rFonts w:asciiTheme="majorHAnsi" w:hAnsiTheme="majorHAnsi" w:cstheme="majorHAnsi"/>
          <w:color w:val="000000" w:themeColor="text1"/>
          <w:sz w:val="28"/>
          <w:szCs w:val="28"/>
        </w:rPr>
        <w:t xml:space="preserve">hạn chế, </w:t>
      </w:r>
      <w:r w:rsidRPr="00236433">
        <w:rPr>
          <w:rFonts w:asciiTheme="majorHAnsi" w:hAnsiTheme="majorHAnsi" w:cstheme="majorHAnsi"/>
          <w:color w:val="000000" w:themeColor="text1"/>
          <w:sz w:val="28"/>
          <w:szCs w:val="28"/>
        </w:rPr>
        <w:t>giới hạn, tỷ lệ bảo đảm an toàn trong hoạt động</w:t>
      </w:r>
      <w:r w:rsidR="00CA3F57" w:rsidRPr="00236433">
        <w:rPr>
          <w:rFonts w:asciiTheme="majorHAnsi" w:hAnsiTheme="majorHAnsi" w:cstheme="majorHAnsi"/>
          <w:color w:val="000000" w:themeColor="text1"/>
          <w:sz w:val="28"/>
          <w:szCs w:val="28"/>
        </w:rPr>
        <w:t xml:space="preserve"> tại Thông tư này</w:t>
      </w:r>
      <w:r w:rsidRPr="00236433">
        <w:rPr>
          <w:rFonts w:asciiTheme="majorHAnsi" w:hAnsiTheme="majorHAnsi" w:cstheme="majorHAnsi"/>
          <w:color w:val="000000" w:themeColor="text1"/>
          <w:sz w:val="28"/>
          <w:szCs w:val="28"/>
        </w:rPr>
        <w:t>.</w:t>
      </w:r>
    </w:p>
    <w:p w:rsidR="007E77AD" w:rsidRPr="00236433" w:rsidRDefault="007E77AD">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3. Thực hiện chế độ thông tin báo cáo thống kê theo quy định của Ngân hàng Nhà nước, yêu cầu của Ngân hàng Nhà nước chi nhánh tỉnh, thành phố.”</w:t>
      </w:r>
      <w:r w:rsidR="006B2F54" w:rsidRPr="00236433">
        <w:rPr>
          <w:rFonts w:asciiTheme="majorHAnsi" w:hAnsiTheme="majorHAnsi" w:cstheme="majorHAnsi"/>
          <w:color w:val="000000" w:themeColor="text1"/>
          <w:sz w:val="28"/>
          <w:szCs w:val="28"/>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4. Sửa đổi, bổ sung Điều 4 như sau:</w:t>
      </w:r>
    </w:p>
    <w:bookmarkEnd w:id="5"/>
    <w:p w:rsidR="001876CE" w:rsidRPr="00236433" w:rsidRDefault="003B0F6B">
      <w:pPr>
        <w:spacing w:after="60" w:line="276" w:lineRule="auto"/>
        <w:ind w:firstLine="720"/>
        <w:jc w:val="both"/>
        <w:rPr>
          <w:rFonts w:asciiTheme="majorHAnsi" w:hAnsiTheme="majorHAnsi" w:cstheme="majorHAnsi"/>
          <w:b/>
          <w:color w:val="000000" w:themeColor="text1"/>
          <w:sz w:val="28"/>
          <w:szCs w:val="28"/>
        </w:rPr>
      </w:pPr>
      <w:r w:rsidRPr="00236433">
        <w:rPr>
          <w:rFonts w:asciiTheme="majorHAnsi" w:hAnsiTheme="majorHAnsi" w:cstheme="majorHAnsi"/>
          <w:color w:val="000000" w:themeColor="text1"/>
          <w:sz w:val="28"/>
          <w:szCs w:val="28"/>
        </w:rPr>
        <w:t xml:space="preserve"> </w:t>
      </w:r>
      <w:r w:rsidR="002577D9" w:rsidRPr="00236433">
        <w:rPr>
          <w:rFonts w:asciiTheme="majorHAnsi" w:hAnsiTheme="majorHAnsi" w:cstheme="majorHAnsi"/>
          <w:color w:val="000000" w:themeColor="text1"/>
          <w:sz w:val="28"/>
          <w:szCs w:val="28"/>
        </w:rPr>
        <w:t>“</w:t>
      </w:r>
      <w:r w:rsidR="001876CE" w:rsidRPr="00236433">
        <w:rPr>
          <w:rFonts w:asciiTheme="majorHAnsi" w:hAnsiTheme="majorHAnsi" w:cstheme="majorHAnsi"/>
          <w:b/>
          <w:color w:val="000000" w:themeColor="text1"/>
          <w:sz w:val="28"/>
          <w:szCs w:val="28"/>
        </w:rPr>
        <w:t>Điều 4. Quy định nội bộ</w:t>
      </w:r>
    </w:p>
    <w:p w:rsidR="0013754B" w:rsidRPr="00236433" w:rsidRDefault="0013754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1. Quỹ tín dụng nhân dân phải có quy định nội bộ về quản lý tỷ lệ an toàn vốn tối thiểu, quản lý thanh khoản (tỷ lệ khả năng chi trả, tỷ lệ tối đa của nguồn vốn ngắn hạn được sử dụng để cho vay trung hạn và dài hạn, tỷ lệ tổng mức nhận tiền gửi so với vốn chủ sở hữu) theo quy định tại Thông tư này và pháp luật có liên quan. Các văn bản quy định nội bộ và các văn bản sửa đổi, bổ sung quy định nội bộ phải do Hội đồng quản trị quỹ tín dụng nhân dân ban hành hoặc phê duyệt.</w:t>
      </w:r>
    </w:p>
    <w:p w:rsidR="003B0F6B" w:rsidRPr="00236433" w:rsidRDefault="003B0F6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2. Quy định nội bộ về tỷ lệ an toàn vốn tối thiểu bao gồm các nội dung chủ yếu sau:</w:t>
      </w:r>
    </w:p>
    <w:p w:rsidR="003B0F6B" w:rsidRPr="00236433" w:rsidRDefault="003B0F6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a) Quy trình, phương pháp theo dõi tỷ lệ an toàn vốn;</w:t>
      </w:r>
    </w:p>
    <w:p w:rsidR="003B0F6B" w:rsidRPr="00236433" w:rsidRDefault="003B0F6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b) Phương pháp cảnh báo sớm các nguy cơ làm giảm tỷ lệ an toàn vốn;</w:t>
      </w:r>
    </w:p>
    <w:p w:rsidR="003B0F6B" w:rsidRPr="00236433" w:rsidRDefault="003B0F6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lastRenderedPageBreak/>
        <w:t>c) Phương án xử lý khi tỷ lệ an toàn vốn thấp hơn mức tối thiểu, ít nhất gồm: các biện pháp tăng tỷ lệ an toàn vốn; trách nhiệm, quyền hạn và sự phối hợp của các bộ phận, cá nhân trong việc thực hiện phương án xử lý.</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3. Quy định nội bộ về quản lý thanh khoản tối thiểu gồm các nội dung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a) Quy định về việc phân cấp, ủy quyền, chức năng, nhiệm vụ của các cá nhân, bộ phận liên quan trong việc theo dõi và thực hiện các biện pháp để đảm bảo duy trì tỷ lệ khả năng chi trả, tỷ lệ tối đa của nguồn vốn ngắn hạn được sử dụng để cho vay trung hạn và dài hạn; tỷ lệ tổng mức nhận tiền gửi so với vốn chủ sở hữu;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b) Quy trình, thủ tục, các giới hạn quản lý thanh khoản và phương án dự phòng để đảm bảo duy trì tỷ lệ khả năng chi trả, tỷ lệ tối đa của nguồn vốn ngắn hạn được sử dụng để cho vay trung hạn và dài hạn, tỷ lệ tổng mức nhận tiền gửi so với vốn chủ sở hữu theo quy định tại Thông tư này;</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c) Các quy định về quản lý ngân quỹ, thu, chi, nguồn vốn hằng ngày</w:t>
      </w:r>
      <w:r w:rsidR="006B2F54"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d) </w:t>
      </w:r>
      <w:r w:rsidR="0089201E" w:rsidRPr="00236433">
        <w:rPr>
          <w:rFonts w:asciiTheme="majorHAnsi" w:hAnsiTheme="majorHAnsi" w:cstheme="majorHAnsi"/>
          <w:color w:val="000000" w:themeColor="text1"/>
          <w:sz w:val="28"/>
          <w:szCs w:val="28"/>
          <w:lang w:val="nl-NL"/>
        </w:rPr>
        <w:t>C</w:t>
      </w:r>
      <w:r w:rsidRPr="00236433">
        <w:rPr>
          <w:rFonts w:asciiTheme="majorHAnsi" w:hAnsiTheme="majorHAnsi" w:cstheme="majorHAnsi"/>
          <w:color w:val="000000" w:themeColor="text1"/>
          <w:sz w:val="28"/>
          <w:szCs w:val="28"/>
          <w:lang w:val="nl-NL"/>
        </w:rPr>
        <w:t>ác tiêu chí cảnh báo sớm về rủi ro thiếu hụt khả năng chi trả, thanh khoản và các phương án xử lý;</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đ)</w:t>
      </w:r>
      <w:r w:rsidR="00FD1DFC" w:rsidRPr="00236433">
        <w:rPr>
          <w:rFonts w:asciiTheme="majorHAnsi" w:hAnsiTheme="majorHAnsi" w:cstheme="majorHAnsi"/>
          <w:color w:val="000000" w:themeColor="text1"/>
          <w:sz w:val="28"/>
          <w:szCs w:val="28"/>
          <w:lang w:val="nl-NL"/>
        </w:rPr>
        <w:t xml:space="preserve"> </w:t>
      </w:r>
      <w:r w:rsidR="008E0E41" w:rsidRPr="00236433">
        <w:rPr>
          <w:rFonts w:asciiTheme="majorHAnsi" w:hAnsiTheme="majorHAnsi" w:cstheme="majorHAnsi"/>
          <w:color w:val="000000" w:themeColor="text1"/>
          <w:sz w:val="28"/>
          <w:szCs w:val="28"/>
          <w:lang w:val="nl-NL"/>
        </w:rPr>
        <w:t>Có g</w:t>
      </w:r>
      <w:r w:rsidR="005B504D" w:rsidRPr="00236433">
        <w:rPr>
          <w:rFonts w:asciiTheme="majorHAnsi" w:hAnsiTheme="majorHAnsi" w:cstheme="majorHAnsi"/>
          <w:color w:val="000000" w:themeColor="text1"/>
          <w:sz w:val="28"/>
          <w:szCs w:val="28"/>
          <w:lang w:val="nl-NL"/>
        </w:rPr>
        <w:t>iải pháp</w:t>
      </w:r>
      <w:r w:rsidR="00FD1DFC" w:rsidRPr="00236433">
        <w:rPr>
          <w:rFonts w:asciiTheme="majorHAnsi" w:hAnsiTheme="majorHAnsi" w:cstheme="majorHAnsi"/>
          <w:color w:val="000000" w:themeColor="text1"/>
          <w:sz w:val="28"/>
          <w:szCs w:val="28"/>
          <w:lang w:val="nl-NL"/>
        </w:rPr>
        <w:t xml:space="preserve"> duy trì T</w:t>
      </w:r>
      <w:r w:rsidRPr="00236433">
        <w:rPr>
          <w:rFonts w:asciiTheme="majorHAnsi" w:hAnsiTheme="majorHAnsi" w:cstheme="majorHAnsi"/>
          <w:color w:val="000000" w:themeColor="text1"/>
          <w:sz w:val="28"/>
          <w:szCs w:val="28"/>
          <w:lang w:val="nl-NL"/>
        </w:rPr>
        <w:t xml:space="preserve">ài sản </w:t>
      </w:r>
      <w:r w:rsidR="00FD1DFC" w:rsidRPr="00236433">
        <w:rPr>
          <w:rFonts w:asciiTheme="majorHAnsi" w:hAnsiTheme="majorHAnsi" w:cstheme="majorHAnsi"/>
          <w:color w:val="000000" w:themeColor="text1"/>
          <w:sz w:val="28"/>
          <w:szCs w:val="28"/>
          <w:lang w:val="nl-NL"/>
        </w:rPr>
        <w:t>“C</w:t>
      </w:r>
      <w:r w:rsidRPr="00236433">
        <w:rPr>
          <w:rFonts w:asciiTheme="majorHAnsi" w:hAnsiTheme="majorHAnsi" w:cstheme="majorHAnsi"/>
          <w:color w:val="000000" w:themeColor="text1"/>
          <w:sz w:val="28"/>
          <w:szCs w:val="28"/>
          <w:lang w:val="nl-NL"/>
        </w:rPr>
        <w:t>ó</w:t>
      </w:r>
      <w:r w:rsidR="00FD1DFC" w:rsidRPr="00236433">
        <w:rPr>
          <w:rFonts w:asciiTheme="majorHAnsi" w:hAnsiTheme="majorHAnsi" w:cstheme="majorHAnsi"/>
          <w:color w:val="000000" w:themeColor="text1"/>
          <w:sz w:val="28"/>
          <w:szCs w:val="28"/>
          <w:lang w:val="nl-NL"/>
        </w:rPr>
        <w:t>”</w:t>
      </w:r>
      <w:r w:rsidRPr="00236433">
        <w:rPr>
          <w:rFonts w:asciiTheme="majorHAnsi" w:hAnsiTheme="majorHAnsi" w:cstheme="majorHAnsi"/>
          <w:color w:val="000000" w:themeColor="text1"/>
          <w:sz w:val="28"/>
          <w:szCs w:val="28"/>
          <w:lang w:val="nl-NL"/>
        </w:rPr>
        <w:t xml:space="preserve"> có thể thanh toán ngay như tăng vốn điều lệ, tăng trích lập các quỹ, giảm hệ số rủi ro của </w:t>
      </w:r>
      <w:r w:rsidR="00FD1DFC" w:rsidRPr="00236433">
        <w:rPr>
          <w:rFonts w:asciiTheme="majorHAnsi" w:hAnsiTheme="majorHAnsi" w:cstheme="majorHAnsi"/>
          <w:color w:val="000000" w:themeColor="text1"/>
          <w:sz w:val="28"/>
          <w:szCs w:val="28"/>
          <w:lang w:val="nl-NL"/>
        </w:rPr>
        <w:t>Tài sản “Có”</w:t>
      </w:r>
      <w:r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e) </w:t>
      </w:r>
      <w:r w:rsidR="00583E0D" w:rsidRPr="00236433">
        <w:rPr>
          <w:rFonts w:asciiTheme="majorHAnsi" w:hAnsiTheme="majorHAnsi" w:cstheme="majorHAnsi"/>
          <w:color w:val="000000" w:themeColor="text1"/>
          <w:sz w:val="28"/>
          <w:szCs w:val="28"/>
          <w:lang w:val="pt-BR"/>
        </w:rPr>
        <w:t>Hướng dẫn, kiểm tra, kiểm soát, kiểm toán nội bộ đối với việc duy trì tỷ lệ khả năng chi trả, tỷ lệ tổng mức nhận tiền gửi so với vốn chủ sở hữu, tỷ lệ tối đa của nguồn vốn ngắn hạn được sử dụng cho vay trung và dài hạn</w:t>
      </w:r>
      <w:r w:rsidR="001876CE" w:rsidRPr="00236433">
        <w:rPr>
          <w:rFonts w:asciiTheme="majorHAnsi" w:hAnsiTheme="majorHAnsi" w:cstheme="majorHAnsi"/>
          <w:color w:val="000000" w:themeColor="text1"/>
          <w:sz w:val="28"/>
          <w:szCs w:val="28"/>
          <w:lang w:val="pt-BR"/>
        </w:rPr>
        <w:t>, tỷ lệ tổng mức tiền gửi so với vốn chủ sở hữu</w:t>
      </w:r>
      <w:r w:rsidR="00B4279A"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4. Quy định nội bộ về cho vay, quản lý khoản cho vay theo quy định tại Thông tư này và các văn bản có liên quan, trong đó tối thiểu phải có nội dung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a) Tiêu chí xác định khách hàng, người có liên quan với khách hàng của quỹ tín dụng nhân dân bao gồm trường hợp quy định tại các điểm b, c, đ và g khoản 24 Điều 4 Luật Các tổ</w:t>
      </w:r>
      <w:r w:rsidR="00516FAC" w:rsidRPr="00236433">
        <w:rPr>
          <w:rFonts w:asciiTheme="majorHAnsi" w:hAnsiTheme="majorHAnsi" w:cstheme="majorHAnsi"/>
          <w:color w:val="000000" w:themeColor="text1"/>
          <w:sz w:val="28"/>
          <w:szCs w:val="28"/>
          <w:lang w:val="nl-NL"/>
        </w:rPr>
        <w:t xml:space="preserve"> chức tín dụng 2024; khách hàng </w:t>
      </w:r>
      <w:r w:rsidRPr="00236433">
        <w:rPr>
          <w:rFonts w:asciiTheme="majorHAnsi" w:hAnsiTheme="majorHAnsi" w:cstheme="majorHAnsi"/>
          <w:color w:val="000000" w:themeColor="text1"/>
          <w:sz w:val="28"/>
          <w:szCs w:val="28"/>
          <w:lang w:val="nl-NL"/>
        </w:rPr>
        <w:t>cá nhân với vợ, chồng; cha mẹ đẻ, cha mẹ nuôi, cha dượng, mẹ kế, cha mẹ vợ, cha mẹ chồng; con đẻ, con nuôi, con riêng của vợ hoặc chồng, con dâu, con rể; anh, chị, em cùng cha mẹ; anh, chị, em cùng cha khác mẹ; anh, chị, em cùng mẹ khác cha; anh vợ, chị vợ, em vợ, anh chồng, chị chồng, em chồng, anh rể, em rể, chị dâu, em dâu của người cùng cha mẹ hoặc cùng cha khác mẹ, cùng mẹ khác cha</w:t>
      </w:r>
      <w:r w:rsidR="00516FAC" w:rsidRPr="00236433">
        <w:rPr>
          <w:rFonts w:asciiTheme="majorHAnsi" w:hAnsiTheme="majorHAnsi" w:cstheme="majorHAnsi"/>
          <w:color w:val="000000" w:themeColor="text1"/>
          <w:sz w:val="28"/>
          <w:szCs w:val="28"/>
          <w:lang w:val="nl-NL"/>
        </w:rPr>
        <w:t xml:space="preserve"> của khách hàng đó</w:t>
      </w:r>
      <w:r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b) </w:t>
      </w:r>
      <w:r w:rsidR="007A792F" w:rsidRPr="00236433">
        <w:rPr>
          <w:rFonts w:asciiTheme="majorHAnsi" w:hAnsiTheme="majorHAnsi" w:cstheme="majorHAnsi"/>
          <w:color w:val="000000" w:themeColor="text1"/>
          <w:sz w:val="28"/>
          <w:szCs w:val="28"/>
          <w:lang w:val="pt-BR"/>
        </w:rPr>
        <w:t xml:space="preserve">Các </w:t>
      </w:r>
      <w:r w:rsidR="007A792F" w:rsidRPr="00236433">
        <w:rPr>
          <w:rFonts w:asciiTheme="majorHAnsi" w:hAnsiTheme="majorHAnsi" w:cstheme="majorHAnsi"/>
          <w:color w:val="000000" w:themeColor="text1"/>
          <w:sz w:val="28"/>
          <w:szCs w:val="28"/>
        </w:rPr>
        <w:t>hạn chế,</w:t>
      </w:r>
      <w:r w:rsidRPr="00236433">
        <w:rPr>
          <w:rFonts w:asciiTheme="majorHAnsi" w:hAnsiTheme="majorHAnsi" w:cstheme="majorHAnsi"/>
          <w:color w:val="000000" w:themeColor="text1"/>
          <w:sz w:val="28"/>
          <w:szCs w:val="28"/>
          <w:lang w:val="nl-NL"/>
        </w:rPr>
        <w:t xml:space="preserve"> giới hạn cho vay áp dụng đối với khách hàng, khách hàng và người có liên quan, cơ chế, nguyên tắc phân cấp, ủy quyền cho vay đối với khách hàng, khách hàng và người có liên quan;</w:t>
      </w:r>
    </w:p>
    <w:p w:rsidR="002577D9" w:rsidRPr="00236433" w:rsidRDefault="005B6314">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rPr>
        <w:lastRenderedPageBreak/>
        <w:t>c) Giới hạn cho vay tối đa trong tổng dư nợ cho vay đối với từng loại khách hàng là thành viên, khách hàng không phải là thành viên và khách hàng là thành viên của hộ nghèo của quỹ tín dụng nhân dân</w:t>
      </w:r>
      <w:r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d) Quy trình theo dõi đối với các khoản cho vay vượt quá 5% vốn tự có của quỹ tín dụng nhân dân;</w:t>
      </w:r>
    </w:p>
    <w:p w:rsidR="00B4279A"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đ) Quy định về việc báo cáo Ngân hàng nhà nước chi nhánh tỉnh, thành phố, Đại hội </w:t>
      </w:r>
      <w:r w:rsidR="001876CE" w:rsidRPr="00236433">
        <w:rPr>
          <w:rFonts w:asciiTheme="majorHAnsi" w:hAnsiTheme="majorHAnsi" w:cstheme="majorHAnsi"/>
          <w:color w:val="000000" w:themeColor="text1"/>
          <w:sz w:val="28"/>
          <w:szCs w:val="28"/>
          <w:lang w:val="nl-NL"/>
        </w:rPr>
        <w:t>t</w:t>
      </w:r>
      <w:r w:rsidRPr="00236433">
        <w:rPr>
          <w:rFonts w:asciiTheme="majorHAnsi" w:hAnsiTheme="majorHAnsi" w:cstheme="majorHAnsi"/>
          <w:color w:val="000000" w:themeColor="text1"/>
          <w:sz w:val="28"/>
          <w:szCs w:val="28"/>
          <w:lang w:val="nl-NL"/>
        </w:rPr>
        <w:t xml:space="preserve">hành viên đối với các khoản cho vay thuộc đối tượng quy định tại </w:t>
      </w:r>
      <w:r w:rsidR="005C2F72" w:rsidRPr="00236433">
        <w:rPr>
          <w:rFonts w:asciiTheme="majorHAnsi" w:hAnsiTheme="majorHAnsi" w:cstheme="majorHAnsi"/>
          <w:color w:val="000000" w:themeColor="text1"/>
          <w:sz w:val="28"/>
          <w:szCs w:val="28"/>
          <w:lang w:val="nl-NL"/>
        </w:rPr>
        <w:t>khoản</w:t>
      </w:r>
      <w:r w:rsidRPr="00236433">
        <w:rPr>
          <w:rFonts w:asciiTheme="majorHAnsi" w:hAnsiTheme="majorHAnsi" w:cstheme="majorHAnsi"/>
          <w:color w:val="000000" w:themeColor="text1"/>
          <w:sz w:val="28"/>
          <w:szCs w:val="28"/>
          <w:lang w:val="nl-NL"/>
        </w:rPr>
        <w:t xml:space="preserve"> 1 Điều 135 Luật Các tổ chức tín dụng 2024.</w:t>
      </w:r>
    </w:p>
    <w:p w:rsidR="00B4279A" w:rsidRPr="00236433" w:rsidRDefault="00B4279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5. Định kỳ ít nhất 01 (một) năm một lần và khi cần thiết, quỹ tín dụng nhân dân phải rà soát, đánh giá lại, sửa đổi, bổ sung các quy định nội bộ cho phù hợp với yêu cầu bảo đảm an toàn trong hoạt động của quỹ tín dụng nhân dân.</w:t>
      </w:r>
    </w:p>
    <w:p w:rsidR="006B2F54" w:rsidRPr="00236433" w:rsidRDefault="00B4279A">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6. Trong thời gian 10 (mười) ngày làm việc kể từ ngày ban hành, sửa đổi, bổ sung</w:t>
      </w:r>
      <w:r w:rsidR="00A35681" w:rsidRPr="00236433">
        <w:rPr>
          <w:rFonts w:asciiTheme="majorHAnsi" w:hAnsiTheme="majorHAnsi" w:cstheme="majorHAnsi"/>
          <w:color w:val="000000" w:themeColor="text1"/>
          <w:sz w:val="28"/>
          <w:szCs w:val="28"/>
          <w:lang w:val="nl-NL"/>
        </w:rPr>
        <w:t xml:space="preserve"> hoặc thay thế</w:t>
      </w:r>
      <w:r w:rsidRPr="00236433">
        <w:rPr>
          <w:rFonts w:asciiTheme="majorHAnsi" w:hAnsiTheme="majorHAnsi" w:cstheme="majorHAnsi"/>
          <w:color w:val="000000" w:themeColor="text1"/>
          <w:sz w:val="28"/>
          <w:szCs w:val="28"/>
          <w:lang w:val="nl-NL"/>
        </w:rPr>
        <w:t xml:space="preserve"> các văn bản quy định nội bộ, quỹ tín dụng nhân dân gửi (trực tiếp hoặc qua đường bưu điện) </w:t>
      </w:r>
      <w:r w:rsidR="0078346C" w:rsidRPr="00236433">
        <w:rPr>
          <w:rFonts w:asciiTheme="majorHAnsi" w:hAnsiTheme="majorHAnsi" w:cstheme="majorHAnsi"/>
          <w:color w:val="000000" w:themeColor="text1"/>
          <w:sz w:val="28"/>
          <w:szCs w:val="28"/>
          <w:shd w:val="clear" w:color="auto" w:fill="FFFFFF"/>
        </w:rPr>
        <w:t>quy định nội bộ được ban hành, sửa đổi, bổ sung hoặc thay thế</w:t>
      </w:r>
      <w:r w:rsidR="0078346C" w:rsidRPr="00236433">
        <w:rPr>
          <w:rFonts w:ascii="Arial" w:hAnsi="Arial" w:cs="Arial"/>
          <w:color w:val="000000" w:themeColor="text1"/>
          <w:sz w:val="20"/>
          <w:szCs w:val="20"/>
          <w:shd w:val="clear" w:color="auto" w:fill="FFFFFF"/>
        </w:rPr>
        <w:t xml:space="preserve"> </w:t>
      </w:r>
      <w:r w:rsidRPr="00236433">
        <w:rPr>
          <w:rFonts w:asciiTheme="majorHAnsi" w:hAnsiTheme="majorHAnsi" w:cstheme="majorHAnsi"/>
          <w:color w:val="000000" w:themeColor="text1"/>
          <w:sz w:val="28"/>
          <w:szCs w:val="28"/>
          <w:lang w:val="nl-NL"/>
        </w:rPr>
        <w:t>đến Ngân hàng Nhà nước chi nhánh tỉnh, thành phố</w:t>
      </w:r>
      <w:r w:rsidR="0078346C" w:rsidRPr="00236433">
        <w:rPr>
          <w:rFonts w:asciiTheme="majorHAnsi" w:hAnsiTheme="majorHAnsi" w:cstheme="majorHAnsi"/>
          <w:color w:val="000000" w:themeColor="text1"/>
          <w:sz w:val="28"/>
          <w:szCs w:val="28"/>
          <w:lang w:val="nl-NL"/>
        </w:rPr>
        <w:t xml:space="preserve">. </w:t>
      </w:r>
      <w:r w:rsidR="006B2F54" w:rsidRPr="00236433">
        <w:rPr>
          <w:rFonts w:asciiTheme="majorHAnsi" w:hAnsiTheme="majorHAnsi" w:cstheme="majorHAnsi"/>
          <w:color w:val="000000" w:themeColor="text1"/>
          <w:sz w:val="28"/>
          <w:szCs w:val="28"/>
          <w:lang w:val="nl-NL"/>
        </w:rPr>
        <w:t xml:space="preserve">Trường hợp quy định nội bộ sửa đổi, bổ sung, </w:t>
      </w:r>
      <w:r w:rsidR="0078346C" w:rsidRPr="00236433">
        <w:rPr>
          <w:rFonts w:asciiTheme="majorHAnsi" w:hAnsiTheme="majorHAnsi" w:cstheme="majorHAnsi"/>
          <w:color w:val="000000" w:themeColor="text1"/>
          <w:sz w:val="28"/>
          <w:szCs w:val="28"/>
          <w:lang w:val="nl-NL"/>
        </w:rPr>
        <w:t xml:space="preserve">thay thế, </w:t>
      </w:r>
      <w:r w:rsidR="006B2F54" w:rsidRPr="00236433">
        <w:rPr>
          <w:rFonts w:asciiTheme="majorHAnsi" w:hAnsiTheme="majorHAnsi" w:cstheme="majorHAnsi"/>
          <w:color w:val="000000" w:themeColor="text1"/>
          <w:sz w:val="28"/>
          <w:szCs w:val="28"/>
          <w:lang w:val="nl-NL"/>
        </w:rPr>
        <w:t xml:space="preserve">quỹ tín dụng nhân dân </w:t>
      </w:r>
      <w:r w:rsidR="0078346C" w:rsidRPr="00236433">
        <w:rPr>
          <w:rFonts w:asciiTheme="majorHAnsi" w:hAnsiTheme="majorHAnsi" w:cstheme="majorHAnsi"/>
          <w:color w:val="000000" w:themeColor="text1"/>
          <w:sz w:val="28"/>
          <w:szCs w:val="28"/>
          <w:lang w:val="nl-NL"/>
        </w:rPr>
        <w:t xml:space="preserve">gửi </w:t>
      </w:r>
      <w:r w:rsidR="006B2F54" w:rsidRPr="00236433">
        <w:rPr>
          <w:rFonts w:asciiTheme="majorHAnsi" w:hAnsiTheme="majorHAnsi" w:cstheme="majorHAnsi"/>
          <w:color w:val="000000" w:themeColor="text1"/>
          <w:sz w:val="28"/>
          <w:szCs w:val="28"/>
          <w:lang w:val="nl-NL"/>
        </w:rPr>
        <w:t>văn bản báo cáo những nội dung sửa đổi, bổ sung kèm quy định nội bộ.</w:t>
      </w:r>
    </w:p>
    <w:p w:rsidR="002577D9" w:rsidRPr="00236433" w:rsidRDefault="003B4D4F">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7</w:t>
      </w:r>
      <w:r w:rsidR="002577D9" w:rsidRPr="00236433">
        <w:rPr>
          <w:rFonts w:asciiTheme="majorHAnsi" w:hAnsiTheme="majorHAnsi" w:cstheme="majorHAnsi"/>
          <w:color w:val="000000" w:themeColor="text1"/>
          <w:sz w:val="28"/>
          <w:szCs w:val="28"/>
          <w:lang w:val="nl-NL"/>
        </w:rPr>
        <w:t>.</w:t>
      </w:r>
      <w:r w:rsidR="00845278" w:rsidRPr="00236433">
        <w:rPr>
          <w:rFonts w:asciiTheme="majorHAnsi" w:hAnsiTheme="majorHAnsi" w:cstheme="majorHAnsi"/>
          <w:color w:val="000000" w:themeColor="text1"/>
          <w:sz w:val="28"/>
          <w:szCs w:val="28"/>
          <w:lang w:val="nl-NL"/>
        </w:rPr>
        <w:t xml:space="preserve"> </w:t>
      </w:r>
      <w:r w:rsidR="00845278" w:rsidRPr="00236433">
        <w:rPr>
          <w:rFonts w:asciiTheme="majorHAnsi" w:hAnsiTheme="majorHAnsi" w:cstheme="majorHAnsi"/>
          <w:color w:val="000000" w:themeColor="text1"/>
          <w:sz w:val="28"/>
          <w:szCs w:val="28"/>
        </w:rPr>
        <w:t>Quỹ tín dụng nhân dân phải sửa đổi, bổ sung quy định nội bộ cho phù hợp với quy định tại Thông tư này trước ngày 31/12/2024</w:t>
      </w:r>
      <w:r w:rsidR="006B2F54" w:rsidRPr="00236433">
        <w:rPr>
          <w:rFonts w:asciiTheme="majorHAnsi" w:hAnsiTheme="majorHAnsi" w:cstheme="majorHAnsi"/>
          <w:color w:val="000000" w:themeColor="text1"/>
          <w:sz w:val="28"/>
          <w:szCs w:val="28"/>
        </w:rPr>
        <w:t>.</w:t>
      </w:r>
      <w:r w:rsidR="00C75B35" w:rsidRPr="00236433">
        <w:rPr>
          <w:rFonts w:asciiTheme="majorHAnsi" w:hAnsiTheme="majorHAnsi" w:cstheme="majorHAnsi"/>
          <w:color w:val="000000" w:themeColor="text1"/>
          <w:sz w:val="28"/>
          <w:szCs w:val="28"/>
          <w:lang w:val="nl-NL"/>
        </w:rPr>
        <w:t>”.</w:t>
      </w:r>
    </w:p>
    <w:p w:rsidR="00340929" w:rsidRPr="00236433" w:rsidRDefault="0034092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5. </w:t>
      </w:r>
      <w:r w:rsidR="00AA0AE7" w:rsidRPr="00236433">
        <w:rPr>
          <w:rFonts w:asciiTheme="majorHAnsi" w:hAnsiTheme="majorHAnsi" w:cstheme="majorHAnsi"/>
          <w:color w:val="000000" w:themeColor="text1"/>
          <w:sz w:val="28"/>
          <w:szCs w:val="28"/>
          <w:lang w:val="nl-NL"/>
        </w:rPr>
        <w:t>Sửa đổi, b</w:t>
      </w:r>
      <w:r w:rsidRPr="00236433">
        <w:rPr>
          <w:rFonts w:asciiTheme="majorHAnsi" w:hAnsiTheme="majorHAnsi" w:cstheme="majorHAnsi"/>
          <w:color w:val="000000" w:themeColor="text1"/>
          <w:sz w:val="28"/>
          <w:szCs w:val="28"/>
          <w:lang w:val="nl-NL"/>
        </w:rPr>
        <w:t xml:space="preserve">ổ sung </w:t>
      </w:r>
      <w:r w:rsidR="00E64ADB" w:rsidRPr="00236433">
        <w:rPr>
          <w:rFonts w:asciiTheme="majorHAnsi" w:hAnsiTheme="majorHAnsi" w:cstheme="majorHAnsi"/>
          <w:color w:val="000000" w:themeColor="text1"/>
          <w:sz w:val="28"/>
          <w:szCs w:val="28"/>
          <w:lang w:val="nl-NL"/>
        </w:rPr>
        <w:t>khoản 3</w:t>
      </w:r>
      <w:r w:rsidR="00A36E3F" w:rsidRPr="00236433">
        <w:rPr>
          <w:rFonts w:asciiTheme="majorHAnsi" w:hAnsiTheme="majorHAnsi" w:cstheme="majorHAnsi"/>
          <w:color w:val="000000" w:themeColor="text1"/>
          <w:sz w:val="28"/>
          <w:szCs w:val="28"/>
          <w:lang w:val="nl-NL"/>
        </w:rPr>
        <w:t xml:space="preserve"> và </w:t>
      </w:r>
      <w:r w:rsidR="00D07570" w:rsidRPr="00236433">
        <w:rPr>
          <w:rFonts w:asciiTheme="majorHAnsi" w:hAnsiTheme="majorHAnsi" w:cstheme="majorHAnsi"/>
          <w:color w:val="000000" w:themeColor="text1"/>
          <w:sz w:val="28"/>
          <w:szCs w:val="28"/>
          <w:lang w:val="nl-NL"/>
        </w:rPr>
        <w:t>điểm d</w:t>
      </w:r>
      <w:r w:rsidR="00DC3B0A" w:rsidRPr="00236433">
        <w:rPr>
          <w:rFonts w:asciiTheme="majorHAnsi" w:hAnsiTheme="majorHAnsi" w:cstheme="majorHAnsi"/>
          <w:color w:val="000000" w:themeColor="text1"/>
          <w:sz w:val="28"/>
          <w:szCs w:val="28"/>
          <w:lang w:val="nl-NL"/>
        </w:rPr>
        <w:t xml:space="preserve"> khoản 4</w:t>
      </w:r>
      <w:r w:rsidRPr="00236433">
        <w:rPr>
          <w:rFonts w:asciiTheme="majorHAnsi" w:hAnsiTheme="majorHAnsi" w:cstheme="majorHAnsi"/>
          <w:color w:val="000000" w:themeColor="text1"/>
          <w:sz w:val="28"/>
          <w:szCs w:val="28"/>
          <w:lang w:val="nl-NL"/>
        </w:rPr>
        <w:t xml:space="preserve"> Điều 5 như sau:</w:t>
      </w:r>
    </w:p>
    <w:p w:rsidR="00E64ADB" w:rsidRPr="00236433" w:rsidRDefault="00E64ADB">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a) </w:t>
      </w:r>
      <w:r w:rsidR="002C6E0A" w:rsidRPr="00236433">
        <w:rPr>
          <w:rFonts w:asciiTheme="majorHAnsi" w:hAnsiTheme="majorHAnsi" w:cstheme="majorHAnsi"/>
          <w:color w:val="000000" w:themeColor="text1"/>
          <w:sz w:val="28"/>
          <w:szCs w:val="28"/>
          <w:lang w:val="nl-NL"/>
        </w:rPr>
        <w:t>Sửa đổi, b</w:t>
      </w:r>
      <w:r w:rsidR="00AA0AE7" w:rsidRPr="00236433">
        <w:rPr>
          <w:rFonts w:asciiTheme="majorHAnsi" w:hAnsiTheme="majorHAnsi" w:cstheme="majorHAnsi"/>
          <w:color w:val="000000" w:themeColor="text1"/>
          <w:sz w:val="28"/>
          <w:szCs w:val="28"/>
          <w:lang w:val="nl-NL"/>
        </w:rPr>
        <w:t xml:space="preserve">ổ sung </w:t>
      </w:r>
      <w:r w:rsidR="00E475A8" w:rsidRPr="00236433">
        <w:rPr>
          <w:rFonts w:asciiTheme="majorHAnsi" w:hAnsiTheme="majorHAnsi" w:cstheme="majorHAnsi"/>
          <w:color w:val="000000" w:themeColor="text1"/>
          <w:sz w:val="28"/>
          <w:szCs w:val="28"/>
          <w:lang w:val="nl-NL"/>
        </w:rPr>
        <w:t>khoản 3</w:t>
      </w:r>
      <w:r w:rsidR="00D07570" w:rsidRPr="00236433">
        <w:rPr>
          <w:rFonts w:asciiTheme="majorHAnsi" w:hAnsiTheme="majorHAnsi" w:cstheme="majorHAnsi"/>
          <w:color w:val="000000" w:themeColor="text1"/>
          <w:sz w:val="28"/>
          <w:szCs w:val="28"/>
          <w:lang w:val="nl-NL"/>
        </w:rPr>
        <w:t xml:space="preserve"> như sau:</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“3. Vốn tự có bao gồm tổng Vốn cấp 1 và Vốn cấp 2 trừ đi Khoản phải trừ khỏi vốn tự có tại thời điểm xác định vốn tự có, cụ thể:</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a) Vốn cấp 1</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Vốn cấp 1 gồm:</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(i) Vốn điều lệ;</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pt-BR"/>
        </w:rPr>
        <w:t>(ii) </w:t>
      </w:r>
      <w:r w:rsidRPr="00236433">
        <w:rPr>
          <w:rFonts w:asciiTheme="majorHAnsi" w:hAnsiTheme="majorHAnsi" w:cstheme="majorHAnsi"/>
          <w:color w:val="000000" w:themeColor="text1"/>
          <w:sz w:val="28"/>
          <w:szCs w:val="28"/>
        </w:rPr>
        <w:t>Vốn </w:t>
      </w:r>
      <w:r w:rsidRPr="00236433">
        <w:rPr>
          <w:rFonts w:asciiTheme="majorHAnsi" w:hAnsiTheme="majorHAnsi" w:cstheme="majorHAnsi"/>
          <w:color w:val="000000" w:themeColor="text1"/>
          <w:sz w:val="28"/>
          <w:szCs w:val="28"/>
          <w:lang w:val="pt-BR"/>
        </w:rPr>
        <w:t>đ</w:t>
      </w:r>
      <w:r w:rsidRPr="00236433">
        <w:rPr>
          <w:rFonts w:asciiTheme="majorHAnsi" w:hAnsiTheme="majorHAnsi" w:cstheme="majorHAnsi"/>
          <w:color w:val="000000" w:themeColor="text1"/>
          <w:sz w:val="28"/>
          <w:szCs w:val="28"/>
        </w:rPr>
        <w:t>ầu tư xây dựng cơ bản, mua sắm tài sản cố định</w:t>
      </w:r>
      <w:r w:rsidRPr="00236433">
        <w:rPr>
          <w:rFonts w:asciiTheme="majorHAnsi" w:hAnsiTheme="majorHAnsi" w:cstheme="majorHAnsi"/>
          <w:color w:val="000000" w:themeColor="text1"/>
          <w:sz w:val="28"/>
          <w:szCs w:val="28"/>
          <w:lang w:val="pt-BR"/>
        </w:rPr>
        <w:t>;</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(ii</w:t>
      </w:r>
      <w:r w:rsidRPr="00236433">
        <w:rPr>
          <w:rFonts w:asciiTheme="majorHAnsi" w:hAnsiTheme="majorHAnsi" w:cstheme="majorHAnsi"/>
          <w:color w:val="000000" w:themeColor="text1"/>
          <w:sz w:val="28"/>
          <w:szCs w:val="28"/>
          <w:lang w:val="pt-BR"/>
        </w:rPr>
        <w:t>i</w:t>
      </w:r>
      <w:r w:rsidRPr="00236433">
        <w:rPr>
          <w:rFonts w:asciiTheme="majorHAnsi" w:hAnsiTheme="majorHAnsi" w:cstheme="majorHAnsi"/>
          <w:color w:val="000000" w:themeColor="text1"/>
          <w:sz w:val="28"/>
          <w:szCs w:val="28"/>
        </w:rPr>
        <w:t>) Quỹ dự trữ bổ sung vốn điều lệ;</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(iv) Quỹ đầu tư phát triển nghiệp vụ;</w:t>
      </w:r>
    </w:p>
    <w:p w:rsidR="008456B0" w:rsidRPr="00236433" w:rsidRDefault="008456B0">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(v)</w:t>
      </w:r>
      <w:r w:rsidRPr="00236433">
        <w:rPr>
          <w:rFonts w:asciiTheme="majorHAnsi" w:hAnsiTheme="majorHAnsi" w:cstheme="majorHAnsi"/>
          <w:color w:val="000000" w:themeColor="text1"/>
          <w:sz w:val="28"/>
          <w:szCs w:val="28"/>
          <w:shd w:val="clear" w:color="auto" w:fill="FFFFFF"/>
        </w:rPr>
        <w:t xml:space="preserve"> Quỹ dự phòng tài chính;</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(v</w:t>
      </w:r>
      <w:r w:rsidR="008456B0" w:rsidRPr="00236433">
        <w:rPr>
          <w:rFonts w:asciiTheme="majorHAnsi" w:hAnsiTheme="majorHAnsi" w:cstheme="majorHAnsi"/>
          <w:color w:val="000000" w:themeColor="text1"/>
          <w:sz w:val="28"/>
          <w:szCs w:val="28"/>
        </w:rPr>
        <w:t>i</w:t>
      </w:r>
      <w:r w:rsidRPr="00236433">
        <w:rPr>
          <w:rFonts w:asciiTheme="majorHAnsi" w:hAnsiTheme="majorHAnsi" w:cstheme="majorHAnsi"/>
          <w:color w:val="000000" w:themeColor="text1"/>
          <w:sz w:val="28"/>
          <w:szCs w:val="28"/>
        </w:rPr>
        <w:t>) Vốn của các tổ chức, cá nhân tài trợ không hoàn lại cho quỹ tín dụng nhân dân;</w:t>
      </w:r>
    </w:p>
    <w:p w:rsidR="005528D8" w:rsidRPr="00236433" w:rsidRDefault="005528D8">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(vi</w:t>
      </w:r>
      <w:r w:rsidR="008456B0" w:rsidRPr="00236433">
        <w:rPr>
          <w:rFonts w:asciiTheme="majorHAnsi" w:hAnsiTheme="majorHAnsi" w:cstheme="majorHAnsi"/>
          <w:color w:val="000000" w:themeColor="text1"/>
          <w:sz w:val="28"/>
          <w:szCs w:val="28"/>
        </w:rPr>
        <w:t>i</w:t>
      </w:r>
      <w:r w:rsidRPr="00236433">
        <w:rPr>
          <w:rFonts w:asciiTheme="majorHAnsi" w:hAnsiTheme="majorHAnsi" w:cstheme="majorHAnsi"/>
          <w:color w:val="000000" w:themeColor="text1"/>
          <w:sz w:val="28"/>
          <w:szCs w:val="28"/>
        </w:rPr>
        <w:t>) Lợi nhuận không chia;</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Vốn cấp 1 phải trừ đi các khoản sau:</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(i) Lỗ lũy kế (nếu có);</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lastRenderedPageBreak/>
        <w:t>(ii) Số vốn góp vào ngân hàng hợp tác xã;</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b) Vốn cấp 2 được tính tối đa bằng 100% giá trị Vốn cấp 1, gồm:</w:t>
      </w:r>
      <w:r w:rsidR="005528D8" w:rsidRPr="00236433">
        <w:rPr>
          <w:rFonts w:asciiTheme="majorHAnsi" w:hAnsiTheme="majorHAnsi" w:cstheme="majorHAnsi"/>
          <w:color w:val="000000" w:themeColor="text1"/>
          <w:sz w:val="28"/>
          <w:szCs w:val="28"/>
        </w:rPr>
        <w:t xml:space="preserve"> </w:t>
      </w:r>
      <w:r w:rsidRPr="00236433">
        <w:rPr>
          <w:rFonts w:asciiTheme="majorHAnsi" w:hAnsiTheme="majorHAnsi" w:cstheme="majorHAnsi"/>
          <w:color w:val="000000" w:themeColor="text1"/>
          <w:sz w:val="28"/>
          <w:szCs w:val="28"/>
        </w:rPr>
        <w:t>Dự phòng chung, tối đa bằng 1,25% tổng tài sản "Có" rủi ro;</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c) Khoản phải trừ khỏi vốn tự có: 100% chênh lệch giảm do đánh giá lại tài sản theo quy định của pháp luật.</w:t>
      </w:r>
    </w:p>
    <w:p w:rsidR="002C6E0A" w:rsidRPr="00236433" w:rsidRDefault="002C6E0A">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Việc xác định cụ thể vốn tự có để tính tỷ lệ an toàn vốn tối thiểu được quy định tại </w:t>
      </w:r>
      <w:bookmarkStart w:id="6" w:name="bieumau_pl_1"/>
      <w:r w:rsidRPr="00236433">
        <w:rPr>
          <w:rFonts w:asciiTheme="majorHAnsi" w:hAnsiTheme="majorHAnsi" w:cstheme="majorHAnsi"/>
          <w:color w:val="000000" w:themeColor="text1"/>
          <w:sz w:val="28"/>
          <w:szCs w:val="28"/>
        </w:rPr>
        <w:t>Phụ lục 1</w:t>
      </w:r>
      <w:bookmarkEnd w:id="6"/>
      <w:r w:rsidRPr="00236433">
        <w:rPr>
          <w:rFonts w:asciiTheme="majorHAnsi" w:hAnsiTheme="majorHAnsi" w:cstheme="majorHAnsi"/>
          <w:color w:val="000000" w:themeColor="text1"/>
          <w:sz w:val="28"/>
          <w:szCs w:val="28"/>
        </w:rPr>
        <w:t> ban hành kèm theo Thông tư này.</w:t>
      </w:r>
      <w:r w:rsidR="005528D8" w:rsidRPr="00236433">
        <w:rPr>
          <w:rFonts w:asciiTheme="majorHAnsi" w:hAnsiTheme="majorHAnsi" w:cstheme="majorHAnsi"/>
          <w:color w:val="000000" w:themeColor="text1"/>
          <w:sz w:val="28"/>
          <w:szCs w:val="28"/>
        </w:rPr>
        <w:t>”</w:t>
      </w:r>
      <w:r w:rsidR="006B2F54" w:rsidRPr="00236433">
        <w:rPr>
          <w:rFonts w:asciiTheme="majorHAnsi" w:hAnsiTheme="majorHAnsi" w:cstheme="majorHAnsi"/>
          <w:color w:val="000000" w:themeColor="text1"/>
          <w:sz w:val="28"/>
          <w:szCs w:val="28"/>
        </w:rPr>
        <w:t>.</w:t>
      </w:r>
    </w:p>
    <w:p w:rsidR="00A36E3F" w:rsidRPr="00236433" w:rsidRDefault="00507922" w:rsidP="00236433">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b</w:t>
      </w:r>
      <w:r w:rsidR="00DC3B0A" w:rsidRPr="00236433">
        <w:rPr>
          <w:rFonts w:asciiTheme="majorHAnsi" w:hAnsiTheme="majorHAnsi" w:cstheme="majorHAnsi"/>
          <w:color w:val="000000" w:themeColor="text1"/>
          <w:sz w:val="28"/>
          <w:szCs w:val="28"/>
        </w:rPr>
        <w:t xml:space="preserve">) </w:t>
      </w:r>
      <w:r w:rsidR="00F55021" w:rsidRPr="00236433">
        <w:rPr>
          <w:rFonts w:asciiTheme="majorHAnsi" w:hAnsiTheme="majorHAnsi" w:cstheme="majorHAnsi"/>
          <w:color w:val="000000" w:themeColor="text1"/>
          <w:sz w:val="28"/>
          <w:szCs w:val="28"/>
        </w:rPr>
        <w:t>Sửa đổi điểm d (i)</w:t>
      </w:r>
      <w:r w:rsidR="00D07570" w:rsidRPr="00236433">
        <w:rPr>
          <w:rFonts w:asciiTheme="majorHAnsi" w:hAnsiTheme="majorHAnsi" w:cstheme="majorHAnsi"/>
          <w:color w:val="000000" w:themeColor="text1"/>
          <w:sz w:val="28"/>
          <w:szCs w:val="28"/>
        </w:rPr>
        <w:t xml:space="preserve"> </w:t>
      </w:r>
      <w:r w:rsidR="00E475A8" w:rsidRPr="00236433">
        <w:rPr>
          <w:rFonts w:asciiTheme="majorHAnsi" w:hAnsiTheme="majorHAnsi" w:cstheme="majorHAnsi"/>
          <w:color w:val="000000" w:themeColor="text1"/>
          <w:sz w:val="28"/>
          <w:szCs w:val="28"/>
        </w:rPr>
        <w:t>khoản 4</w:t>
      </w:r>
      <w:r w:rsidR="001003F6" w:rsidRPr="00236433">
        <w:rPr>
          <w:rFonts w:asciiTheme="majorHAnsi" w:hAnsiTheme="majorHAnsi" w:cstheme="majorHAnsi"/>
          <w:color w:val="000000" w:themeColor="text1"/>
          <w:sz w:val="28"/>
          <w:szCs w:val="28"/>
        </w:rPr>
        <w:t xml:space="preserve"> </w:t>
      </w:r>
      <w:r w:rsidR="00D07570" w:rsidRPr="00236433">
        <w:rPr>
          <w:rFonts w:asciiTheme="majorHAnsi" w:hAnsiTheme="majorHAnsi" w:cstheme="majorHAnsi"/>
          <w:color w:val="000000" w:themeColor="text1"/>
          <w:sz w:val="28"/>
          <w:szCs w:val="28"/>
        </w:rPr>
        <w:t>như sau:</w:t>
      </w:r>
    </w:p>
    <w:p w:rsidR="0099063F" w:rsidRPr="00236433" w:rsidRDefault="00D07570" w:rsidP="00236433">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w:t>
      </w:r>
      <w:r w:rsidR="00B8162F" w:rsidRPr="00236433">
        <w:rPr>
          <w:rFonts w:asciiTheme="majorHAnsi" w:hAnsiTheme="majorHAnsi" w:cstheme="majorHAnsi"/>
          <w:color w:val="000000" w:themeColor="text1"/>
          <w:sz w:val="28"/>
          <w:szCs w:val="28"/>
        </w:rPr>
        <w:t>(i). Giá trị nguyên giá của Tài sản cố định của quỹ tín dụng nhân dân</w:t>
      </w:r>
      <w:r w:rsidR="006B2F54" w:rsidRPr="00236433">
        <w:rPr>
          <w:rFonts w:asciiTheme="majorHAnsi" w:hAnsiTheme="majorHAnsi" w:cstheme="majorHAnsi"/>
          <w:color w:val="000000" w:themeColor="text1"/>
          <w:sz w:val="28"/>
          <w:szCs w:val="28"/>
        </w:rPr>
        <w:t>;</w:t>
      </w:r>
      <w:r w:rsidR="00B8162F" w:rsidRPr="00236433">
        <w:rPr>
          <w:rFonts w:asciiTheme="majorHAnsi" w:hAnsiTheme="majorHAnsi" w:cstheme="majorHAnsi"/>
          <w:color w:val="000000" w:themeColor="text1"/>
          <w:sz w:val="28"/>
          <w:szCs w:val="28"/>
        </w:rPr>
        <w:t>”</w:t>
      </w:r>
      <w:r w:rsidR="00036749" w:rsidRPr="00236433">
        <w:rPr>
          <w:rFonts w:asciiTheme="majorHAnsi" w:hAnsiTheme="majorHAnsi" w:cstheme="majorHAnsi"/>
          <w:color w:val="000000" w:themeColor="text1"/>
          <w:sz w:val="28"/>
          <w:szCs w:val="28"/>
        </w:rPr>
        <w:t>.</w:t>
      </w:r>
    </w:p>
    <w:p w:rsidR="005A0288" w:rsidRPr="00236433" w:rsidRDefault="005A0288" w:rsidP="00236433">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6. Sửa đổi, bổ sung điểm a khoản 4 Điều 7 như sau:</w:t>
      </w:r>
    </w:p>
    <w:p w:rsidR="00976932" w:rsidRPr="00236433" w:rsidRDefault="005A0288">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pt-BR"/>
        </w:rPr>
        <w:t>“</w:t>
      </w:r>
      <w:r w:rsidRPr="00236433">
        <w:rPr>
          <w:rFonts w:asciiTheme="majorHAnsi" w:hAnsiTheme="majorHAnsi" w:cstheme="majorHAnsi"/>
          <w:color w:val="000000" w:themeColor="text1"/>
          <w:sz w:val="28"/>
          <w:szCs w:val="28"/>
        </w:rPr>
        <w:t xml:space="preserve">a) </w:t>
      </w:r>
      <w:r w:rsidR="00976932" w:rsidRPr="00236433">
        <w:rPr>
          <w:rFonts w:asciiTheme="majorHAnsi" w:hAnsiTheme="majorHAnsi" w:cstheme="majorHAnsi"/>
          <w:color w:val="000000" w:themeColor="text1"/>
          <w:sz w:val="28"/>
          <w:szCs w:val="28"/>
          <w:shd w:val="clear" w:color="auto" w:fill="FFFFFF"/>
        </w:rPr>
        <w:t>Vốn điều lệ, quỹ dự trữ bổ sung vốn điều lệ, quỹ đầu tư phát triển và quỹ dự phòng tài chính còn lại sau khi trừ đi lỗ lũy kế (được xác định trên bảng cân đối tài khoản kế toán tại thời điểm tính tỷ lệ tối đa của nguồn vốn ngắn hạn được sử dụng để cho vay trung hạn và dài hạn), giá trị nguyên giá của các khoản mua, đ</w:t>
      </w:r>
      <w:r w:rsidR="00796557" w:rsidRPr="00236433">
        <w:rPr>
          <w:rFonts w:asciiTheme="majorHAnsi" w:hAnsiTheme="majorHAnsi" w:cstheme="majorHAnsi"/>
          <w:color w:val="000000" w:themeColor="text1"/>
          <w:sz w:val="28"/>
          <w:szCs w:val="28"/>
          <w:shd w:val="clear" w:color="auto" w:fill="FFFFFF"/>
        </w:rPr>
        <w:t xml:space="preserve">ầu tư tài sản cố định, góp vốn vào ngân hàng hợp tác xã </w:t>
      </w:r>
      <w:r w:rsidR="00976932" w:rsidRPr="00236433">
        <w:rPr>
          <w:rFonts w:asciiTheme="majorHAnsi" w:hAnsiTheme="majorHAnsi" w:cstheme="majorHAnsi"/>
          <w:color w:val="000000" w:themeColor="text1"/>
          <w:sz w:val="28"/>
          <w:szCs w:val="28"/>
          <w:shd w:val="clear" w:color="auto" w:fill="FFFFFF"/>
        </w:rPr>
        <w:t>theo quy định của pháp luật;</w:t>
      </w:r>
      <w:r w:rsidR="00B929DE" w:rsidRPr="00236433">
        <w:rPr>
          <w:rFonts w:asciiTheme="majorHAnsi" w:hAnsiTheme="majorHAnsi" w:cstheme="majorHAnsi"/>
          <w:color w:val="000000" w:themeColor="text1"/>
          <w:sz w:val="28"/>
          <w:szCs w:val="28"/>
          <w:shd w:val="clear" w:color="auto" w:fill="FFFFFF"/>
        </w:rPr>
        <w:t>”</w:t>
      </w:r>
      <w:r w:rsidR="006B2F54" w:rsidRPr="00236433">
        <w:rPr>
          <w:rFonts w:asciiTheme="majorHAnsi" w:hAnsiTheme="majorHAnsi" w:cstheme="majorHAnsi"/>
          <w:color w:val="000000" w:themeColor="text1"/>
          <w:sz w:val="28"/>
          <w:szCs w:val="28"/>
          <w:shd w:val="clear" w:color="auto" w:fill="FFFFFF"/>
        </w:rPr>
        <w:t>.</w:t>
      </w:r>
    </w:p>
    <w:p w:rsidR="002577D9" w:rsidRPr="00236433" w:rsidRDefault="005A0288">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7</w:t>
      </w:r>
      <w:r w:rsidR="002577D9" w:rsidRPr="00236433">
        <w:rPr>
          <w:rFonts w:asciiTheme="majorHAnsi" w:hAnsiTheme="majorHAnsi" w:cstheme="majorHAnsi"/>
          <w:color w:val="000000" w:themeColor="text1"/>
          <w:sz w:val="28"/>
          <w:szCs w:val="28"/>
          <w:lang w:val="nl-NL"/>
        </w:rPr>
        <w:t>. Bổ sung Điều 7a</w:t>
      </w:r>
      <w:r w:rsidR="00B61CDC" w:rsidRPr="00236433">
        <w:rPr>
          <w:rFonts w:asciiTheme="majorHAnsi" w:hAnsiTheme="majorHAnsi" w:cstheme="majorHAnsi"/>
          <w:color w:val="000000" w:themeColor="text1"/>
          <w:sz w:val="28"/>
          <w:szCs w:val="28"/>
          <w:lang w:val="nl-NL"/>
        </w:rPr>
        <w:t xml:space="preserve"> vào sau Điều 7 </w:t>
      </w:r>
      <w:r w:rsidR="002577D9" w:rsidRPr="00236433">
        <w:rPr>
          <w:rFonts w:asciiTheme="majorHAnsi" w:hAnsiTheme="majorHAnsi" w:cstheme="majorHAnsi"/>
          <w:color w:val="000000" w:themeColor="text1"/>
          <w:sz w:val="28"/>
          <w:szCs w:val="28"/>
          <w:lang w:val="nl-NL"/>
        </w:rPr>
        <w:t>như sau:</w:t>
      </w:r>
    </w:p>
    <w:p w:rsidR="002577D9" w:rsidRPr="00236433" w:rsidRDefault="002577D9">
      <w:pPr>
        <w:spacing w:after="60" w:line="276" w:lineRule="auto"/>
        <w:ind w:firstLine="720"/>
        <w:jc w:val="both"/>
        <w:rPr>
          <w:rFonts w:asciiTheme="majorHAnsi" w:hAnsiTheme="majorHAnsi" w:cstheme="majorHAnsi"/>
          <w:b/>
          <w:color w:val="000000" w:themeColor="text1"/>
          <w:sz w:val="28"/>
          <w:szCs w:val="28"/>
          <w:lang w:val="nl-NL"/>
        </w:rPr>
      </w:pPr>
      <w:r w:rsidRPr="00236433">
        <w:rPr>
          <w:rFonts w:asciiTheme="majorHAnsi" w:hAnsiTheme="majorHAnsi" w:cstheme="majorHAnsi"/>
          <w:color w:val="000000" w:themeColor="text1"/>
          <w:sz w:val="28"/>
          <w:szCs w:val="28"/>
          <w:lang w:val="nl-NL"/>
        </w:rPr>
        <w:t>“</w:t>
      </w:r>
      <w:r w:rsidRPr="00236433">
        <w:rPr>
          <w:rFonts w:asciiTheme="majorHAnsi" w:hAnsiTheme="majorHAnsi" w:cstheme="majorHAnsi"/>
          <w:b/>
          <w:color w:val="000000" w:themeColor="text1"/>
          <w:sz w:val="28"/>
          <w:szCs w:val="28"/>
          <w:lang w:val="nl-NL"/>
        </w:rPr>
        <w:t>Điều 7a: Tỷ lệ tổng mức nhận tiền gửi so với vốn chủ sở hữu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1. Quỹ tín dụng nhân dân phải thường xuyên duy trì tỷ lệ tổng mức nhận tiền gửi so với vốn chủ sở hữu không được vượt quá 20 lần.</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2. Tỷ lệ tổng mức nhận tiền gửi so với vốn chủ sở hữu được xác định theo công thức sau:</w:t>
      </w:r>
    </w:p>
    <w:tbl>
      <w:tblPr>
        <w:tblW w:w="0" w:type="auto"/>
        <w:tblLayout w:type="fixed"/>
        <w:tblCellMar>
          <w:left w:w="0" w:type="dxa"/>
          <w:right w:w="0" w:type="dxa"/>
        </w:tblCellMar>
        <w:tblLook w:val="04A0" w:firstRow="1" w:lastRow="0" w:firstColumn="1" w:lastColumn="0" w:noHBand="0" w:noVBand="1"/>
      </w:tblPr>
      <w:tblGrid>
        <w:gridCol w:w="1242"/>
        <w:gridCol w:w="426"/>
        <w:gridCol w:w="1922"/>
      </w:tblGrid>
      <w:tr w:rsidR="00E60532" w:rsidRPr="00E60532" w:rsidTr="00E11799">
        <w:trPr>
          <w:trHeight w:val="369"/>
        </w:trPr>
        <w:tc>
          <w:tcPr>
            <w:tcW w:w="1242" w:type="dxa"/>
            <w:vMerge w:val="restart"/>
            <w:shd w:val="clear" w:color="auto" w:fill="auto"/>
            <w:tcMar>
              <w:top w:w="0" w:type="dxa"/>
              <w:left w:w="108" w:type="dxa"/>
              <w:bottom w:w="0" w:type="dxa"/>
              <w:right w:w="108" w:type="dxa"/>
            </w:tcMar>
            <w:vAlign w:val="center"/>
          </w:tcPr>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A</w:t>
            </w:r>
          </w:p>
        </w:tc>
        <w:tc>
          <w:tcPr>
            <w:tcW w:w="426" w:type="dxa"/>
            <w:vMerge w:val="restart"/>
            <w:shd w:val="clear" w:color="auto" w:fill="auto"/>
            <w:tcMar>
              <w:top w:w="0" w:type="dxa"/>
              <w:left w:w="108" w:type="dxa"/>
              <w:bottom w:w="0" w:type="dxa"/>
              <w:right w:w="108" w:type="dxa"/>
            </w:tcMar>
            <w:vAlign w:val="center"/>
          </w:tcPr>
          <w:p w:rsidR="002577D9" w:rsidRPr="00236433" w:rsidRDefault="002577D9">
            <w:pPr>
              <w:spacing w:after="60" w:line="276" w:lineRule="auto"/>
              <w:ind w:right="317"/>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w:t>
            </w:r>
          </w:p>
        </w:tc>
        <w:tc>
          <w:tcPr>
            <w:tcW w:w="1922" w:type="dxa"/>
            <w:shd w:val="clear" w:color="auto" w:fill="auto"/>
            <w:tcMar>
              <w:top w:w="0" w:type="dxa"/>
              <w:left w:w="108" w:type="dxa"/>
              <w:bottom w:w="0" w:type="dxa"/>
              <w:right w:w="108" w:type="dxa"/>
            </w:tcMar>
            <w:vAlign w:val="center"/>
          </w:tcPr>
          <w:p w:rsidR="002577D9" w:rsidRPr="00236433" w:rsidRDefault="002577D9">
            <w:pPr>
              <w:spacing w:after="60" w:line="276" w:lineRule="auto"/>
              <w:jc w:val="both"/>
              <w:rPr>
                <w:rFonts w:asciiTheme="majorHAnsi" w:hAnsiTheme="majorHAnsi" w:cstheme="majorHAnsi"/>
                <w:color w:val="000000" w:themeColor="text1"/>
                <w:sz w:val="28"/>
                <w:szCs w:val="28"/>
                <w:lang w:val="nl-NL"/>
              </w:rPr>
            </w:pPr>
            <w:r w:rsidRPr="00236433">
              <w:rPr>
                <w:rFonts w:asciiTheme="majorHAnsi" w:hAnsiTheme="majorHAnsi" w:cstheme="majorHAnsi"/>
                <w:noProof/>
                <w:color w:val="000000" w:themeColor="text1"/>
                <w:sz w:val="28"/>
                <w:szCs w:val="28"/>
              </w:rPr>
              <mc:AlternateContent>
                <mc:Choice Requires="wps">
                  <w:drawing>
                    <wp:anchor distT="0" distB="0" distL="114300" distR="114300" simplePos="0" relativeHeight="251659264" behindDoc="0" locked="0" layoutInCell="1" allowOverlap="1" wp14:anchorId="03176647" wp14:editId="33BB6C77">
                      <wp:simplePos x="0" y="0"/>
                      <wp:positionH relativeFrom="column">
                        <wp:posOffset>-4445</wp:posOffset>
                      </wp:positionH>
                      <wp:positionV relativeFrom="paragraph">
                        <wp:posOffset>244475</wp:posOffset>
                      </wp:positionV>
                      <wp:extent cx="190500" cy="0"/>
                      <wp:effectExtent l="12700" t="5715" r="635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56582" id="_x0000_t32" coordsize="21600,21600" o:spt="32" o:oned="t" path="m,l21600,21600e" filled="f">
                      <v:path arrowok="t" fillok="f" o:connecttype="none"/>
                      <o:lock v:ext="edit" shapetype="t"/>
                    </v:shapetype>
                    <v:shape id="Straight Arrow Connector 1" o:spid="_x0000_s1026" type="#_x0000_t32" style="position:absolute;margin-left:-.35pt;margin-top:19.25pt;width: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6h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"/>
                  </w:pict>
                </mc:Fallback>
              </mc:AlternateContent>
            </w:r>
            <w:r w:rsidRPr="00236433">
              <w:rPr>
                <w:rFonts w:asciiTheme="majorHAnsi" w:hAnsiTheme="majorHAnsi" w:cstheme="majorHAnsi"/>
                <w:color w:val="000000" w:themeColor="text1"/>
                <w:sz w:val="28"/>
                <w:szCs w:val="28"/>
                <w:lang w:val="nl-NL"/>
              </w:rPr>
              <w:t xml:space="preserve"> B</w:t>
            </w:r>
          </w:p>
        </w:tc>
      </w:tr>
      <w:tr w:rsidR="00E60532" w:rsidRPr="00E60532" w:rsidTr="00E11799">
        <w:tc>
          <w:tcPr>
            <w:tcW w:w="1242" w:type="dxa"/>
            <w:vMerge/>
            <w:shd w:val="clear" w:color="auto" w:fill="auto"/>
            <w:vAlign w:val="center"/>
          </w:tcPr>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p>
        </w:tc>
        <w:tc>
          <w:tcPr>
            <w:tcW w:w="426" w:type="dxa"/>
            <w:vMerge/>
            <w:shd w:val="clear" w:color="auto" w:fill="auto"/>
            <w:vAlign w:val="center"/>
          </w:tcPr>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p>
        </w:tc>
        <w:tc>
          <w:tcPr>
            <w:tcW w:w="1922" w:type="dxa"/>
            <w:shd w:val="clear" w:color="auto" w:fill="auto"/>
            <w:tcMar>
              <w:top w:w="0" w:type="dxa"/>
              <w:left w:w="108" w:type="dxa"/>
              <w:bottom w:w="0" w:type="dxa"/>
              <w:right w:w="108" w:type="dxa"/>
            </w:tcMar>
            <w:vAlign w:val="center"/>
          </w:tcPr>
          <w:p w:rsidR="002577D9" w:rsidRPr="00236433" w:rsidRDefault="002577D9">
            <w:pPr>
              <w:spacing w:after="60" w:line="276" w:lineRule="auto"/>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 C</w:t>
            </w:r>
          </w:p>
        </w:tc>
      </w:tr>
    </w:tbl>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Trong đó: </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A: tỷ lệ tổng mức nhận tiền gửi so với vốn chủ sở hữu.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 B: tổng mức </w:t>
      </w:r>
      <w:r w:rsidR="00223DC6" w:rsidRPr="00236433">
        <w:rPr>
          <w:rFonts w:asciiTheme="majorHAnsi" w:hAnsiTheme="majorHAnsi" w:cstheme="majorHAnsi"/>
          <w:color w:val="000000" w:themeColor="text1"/>
          <w:sz w:val="28"/>
          <w:szCs w:val="28"/>
          <w:lang w:val="nl-NL"/>
        </w:rPr>
        <w:t>nhận tiền gửi quy định tại khoản</w:t>
      </w:r>
      <w:r w:rsidRPr="00236433">
        <w:rPr>
          <w:rFonts w:asciiTheme="majorHAnsi" w:hAnsiTheme="majorHAnsi" w:cstheme="majorHAnsi"/>
          <w:color w:val="000000" w:themeColor="text1"/>
          <w:sz w:val="28"/>
          <w:szCs w:val="28"/>
          <w:lang w:val="nl-NL"/>
        </w:rPr>
        <w:t xml:space="preserve"> </w:t>
      </w:r>
      <w:r w:rsidR="004206D0" w:rsidRPr="00236433">
        <w:rPr>
          <w:rFonts w:asciiTheme="majorHAnsi" w:hAnsiTheme="majorHAnsi" w:cstheme="majorHAnsi"/>
          <w:color w:val="000000" w:themeColor="text1"/>
          <w:sz w:val="28"/>
          <w:szCs w:val="28"/>
          <w:lang w:val="nl-NL"/>
        </w:rPr>
        <w:t>3</w:t>
      </w:r>
      <w:r w:rsidRPr="00236433">
        <w:rPr>
          <w:rFonts w:asciiTheme="majorHAnsi" w:hAnsiTheme="majorHAnsi" w:cstheme="majorHAnsi"/>
          <w:color w:val="000000" w:themeColor="text1"/>
          <w:sz w:val="28"/>
          <w:szCs w:val="28"/>
          <w:lang w:val="nl-NL"/>
        </w:rPr>
        <w:t xml:space="preserve"> Điều này. </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 C: vốn chủ sở hữu quy định tại khoản </w:t>
      </w:r>
      <w:r w:rsidR="00110D09" w:rsidRPr="00236433">
        <w:rPr>
          <w:rFonts w:asciiTheme="majorHAnsi" w:hAnsiTheme="majorHAnsi" w:cstheme="majorHAnsi"/>
          <w:color w:val="000000" w:themeColor="text1"/>
          <w:sz w:val="28"/>
          <w:szCs w:val="28"/>
          <w:lang w:val="nl-NL"/>
        </w:rPr>
        <w:t>4</w:t>
      </w:r>
      <w:r w:rsidRPr="00236433">
        <w:rPr>
          <w:rFonts w:asciiTheme="majorHAnsi" w:hAnsiTheme="majorHAnsi" w:cstheme="majorHAnsi"/>
          <w:color w:val="000000" w:themeColor="text1"/>
          <w:sz w:val="28"/>
          <w:szCs w:val="28"/>
          <w:lang w:val="nl-NL"/>
        </w:rPr>
        <w:t xml:space="preserve"> Điều này.</w:t>
      </w:r>
    </w:p>
    <w:p w:rsidR="004E1B2C"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3. Tổng mức nhận tiền gửi bao gồm: tiền gửi không kỳ hạn, có kỳ hạn, tiền gửi tiết kiệm của thành viên, tổ chức, cá nhân khác bằng đồng Việt Nam</w:t>
      </w:r>
      <w:r w:rsidR="004E1B2C" w:rsidRPr="00236433">
        <w:rPr>
          <w:rFonts w:asciiTheme="majorHAnsi" w:hAnsiTheme="majorHAnsi" w:cstheme="majorHAnsi"/>
          <w:color w:val="000000" w:themeColor="text1"/>
          <w:sz w:val="28"/>
          <w:szCs w:val="28"/>
          <w:lang w:val="nl-NL"/>
        </w:rPr>
        <w:t>.</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4. Vốn chủ sở hữu được ghi nhận </w:t>
      </w:r>
      <w:r w:rsidR="004E1B2C" w:rsidRPr="00236433">
        <w:rPr>
          <w:rFonts w:asciiTheme="majorHAnsi" w:hAnsiTheme="majorHAnsi" w:cstheme="majorHAnsi"/>
          <w:color w:val="000000" w:themeColor="text1"/>
          <w:sz w:val="28"/>
          <w:szCs w:val="28"/>
        </w:rPr>
        <w:t>theo chế độ tài chính đối với Quỹ tín dụng nhân dân</w:t>
      </w:r>
      <w:r w:rsidRPr="00236433">
        <w:rPr>
          <w:rFonts w:asciiTheme="majorHAnsi" w:hAnsiTheme="majorHAnsi" w:cstheme="majorHAnsi"/>
          <w:color w:val="000000" w:themeColor="text1"/>
          <w:sz w:val="28"/>
          <w:szCs w:val="28"/>
          <w:lang w:val="nl-NL"/>
        </w:rPr>
        <w:t>.”</w:t>
      </w:r>
      <w:r w:rsidR="006F465C" w:rsidRPr="00236433">
        <w:rPr>
          <w:rFonts w:asciiTheme="majorHAnsi" w:hAnsiTheme="majorHAnsi" w:cstheme="majorHAnsi"/>
          <w:color w:val="000000" w:themeColor="text1"/>
          <w:sz w:val="28"/>
          <w:szCs w:val="28"/>
          <w:lang w:val="nl-NL"/>
        </w:rPr>
        <w:t>.</w:t>
      </w:r>
    </w:p>
    <w:p w:rsidR="002577D9" w:rsidRPr="00236433" w:rsidRDefault="000D5CB1">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8</w:t>
      </w:r>
      <w:r w:rsidR="002577D9" w:rsidRPr="00236433">
        <w:rPr>
          <w:rFonts w:asciiTheme="majorHAnsi" w:hAnsiTheme="majorHAnsi" w:cstheme="majorHAnsi"/>
          <w:color w:val="000000" w:themeColor="text1"/>
          <w:sz w:val="28"/>
          <w:szCs w:val="28"/>
          <w:lang w:val="nl-NL"/>
        </w:rPr>
        <w:t xml:space="preserve">. </w:t>
      </w:r>
      <w:r w:rsidR="001D3D43" w:rsidRPr="00236433">
        <w:rPr>
          <w:rFonts w:asciiTheme="majorHAnsi" w:hAnsiTheme="majorHAnsi" w:cstheme="majorHAnsi"/>
          <w:color w:val="000000" w:themeColor="text1"/>
          <w:sz w:val="28"/>
          <w:szCs w:val="28"/>
        </w:rPr>
        <w:t xml:space="preserve">Sửa đổi, bổ sung </w:t>
      </w:r>
      <w:r w:rsidR="002577D9" w:rsidRPr="00236433">
        <w:rPr>
          <w:rFonts w:asciiTheme="majorHAnsi" w:hAnsiTheme="majorHAnsi" w:cstheme="majorHAnsi"/>
          <w:color w:val="000000" w:themeColor="text1"/>
          <w:sz w:val="28"/>
          <w:szCs w:val="28"/>
          <w:lang w:val="nl-NL"/>
        </w:rPr>
        <w:t>Điều 8 như sau:</w:t>
      </w:r>
    </w:p>
    <w:p w:rsidR="001170D2"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w:t>
      </w:r>
      <w:r w:rsidRPr="00236433">
        <w:rPr>
          <w:rFonts w:asciiTheme="majorHAnsi" w:hAnsiTheme="majorHAnsi" w:cstheme="majorHAnsi"/>
          <w:b/>
          <w:color w:val="000000" w:themeColor="text1"/>
          <w:sz w:val="28"/>
          <w:szCs w:val="28"/>
          <w:lang w:val="nl-NL"/>
        </w:rPr>
        <w:t>Điều 8. Hạn chế, giới hạn cho vay</w:t>
      </w:r>
    </w:p>
    <w:p w:rsidR="001170D2" w:rsidRPr="00236433" w:rsidRDefault="001170D2">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lastRenderedPageBreak/>
        <w:t xml:space="preserve">1. </w:t>
      </w:r>
      <w:r w:rsidR="002577D9" w:rsidRPr="00236433">
        <w:rPr>
          <w:rFonts w:asciiTheme="majorHAnsi" w:hAnsiTheme="majorHAnsi" w:cstheme="majorHAnsi"/>
          <w:color w:val="000000" w:themeColor="text1"/>
          <w:sz w:val="28"/>
          <w:szCs w:val="28"/>
          <w:lang w:val="nl-NL"/>
        </w:rPr>
        <w:t xml:space="preserve">Quỹ tín dụng nhân dân căn cứ vốn tự có được xác định theo quy định tại khoản 3 Điều 5 Thông tư này tại cuối ngày làm việc gần nhất </w:t>
      </w:r>
      <w:r w:rsidR="00891E07" w:rsidRPr="00236433">
        <w:rPr>
          <w:rFonts w:asciiTheme="majorHAnsi" w:hAnsiTheme="majorHAnsi" w:cstheme="majorHAnsi"/>
          <w:color w:val="000000" w:themeColor="text1"/>
          <w:sz w:val="28"/>
          <w:szCs w:val="28"/>
          <w:lang w:val="es-ES"/>
        </w:rPr>
        <w:t>để xác định</w:t>
      </w:r>
      <w:r w:rsidRPr="00236433">
        <w:rPr>
          <w:rFonts w:asciiTheme="majorHAnsi" w:hAnsiTheme="majorHAnsi" w:cstheme="majorHAnsi"/>
          <w:color w:val="000000" w:themeColor="text1"/>
          <w:sz w:val="28"/>
          <w:szCs w:val="28"/>
          <w:lang w:val="es-ES"/>
        </w:rPr>
        <w:t>:</w:t>
      </w:r>
    </w:p>
    <w:p w:rsidR="001170D2" w:rsidRPr="00236433" w:rsidRDefault="001170D2">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a) </w:t>
      </w:r>
      <w:r w:rsidR="00DA6E0A" w:rsidRPr="00236433">
        <w:rPr>
          <w:rFonts w:asciiTheme="majorHAnsi" w:hAnsiTheme="majorHAnsi" w:cstheme="majorHAnsi"/>
          <w:color w:val="000000" w:themeColor="text1"/>
          <w:sz w:val="28"/>
          <w:szCs w:val="28"/>
          <w:lang w:val="es-ES"/>
        </w:rPr>
        <w:t>H</w:t>
      </w:r>
      <w:r w:rsidR="00891E07" w:rsidRPr="00236433">
        <w:rPr>
          <w:rFonts w:asciiTheme="majorHAnsi" w:hAnsiTheme="majorHAnsi" w:cstheme="majorHAnsi"/>
          <w:color w:val="000000" w:themeColor="text1"/>
          <w:sz w:val="28"/>
          <w:szCs w:val="28"/>
          <w:lang w:val="es-ES"/>
        </w:rPr>
        <w:t>ạn chế cho vay đối với tổ chức, cá</w:t>
      </w:r>
      <w:r w:rsidR="00B83E31" w:rsidRPr="00236433">
        <w:rPr>
          <w:rFonts w:asciiTheme="majorHAnsi" w:hAnsiTheme="majorHAnsi" w:cstheme="majorHAnsi"/>
          <w:color w:val="000000" w:themeColor="text1"/>
          <w:sz w:val="28"/>
          <w:szCs w:val="28"/>
          <w:lang w:val="es-ES"/>
        </w:rPr>
        <w:t xml:space="preserve"> nhân theo quy định tại Điều 135 </w:t>
      </w:r>
      <w:r w:rsidR="00B83E31" w:rsidRPr="00236433">
        <w:rPr>
          <w:rFonts w:asciiTheme="majorHAnsi" w:hAnsiTheme="majorHAnsi" w:cstheme="majorHAnsi"/>
          <w:color w:val="000000" w:themeColor="text1"/>
          <w:sz w:val="28"/>
          <w:szCs w:val="28"/>
          <w:lang w:val="nl-NL"/>
        </w:rPr>
        <w:t>Luật Các tổ chức tín dụng năm 2024</w:t>
      </w:r>
      <w:r w:rsidRPr="00236433">
        <w:rPr>
          <w:rFonts w:asciiTheme="majorHAnsi" w:hAnsiTheme="majorHAnsi" w:cstheme="majorHAnsi"/>
          <w:color w:val="000000" w:themeColor="text1"/>
          <w:sz w:val="28"/>
          <w:szCs w:val="28"/>
          <w:lang w:val="es-ES"/>
        </w:rPr>
        <w:t>;</w:t>
      </w:r>
    </w:p>
    <w:p w:rsidR="001170D2" w:rsidRPr="00236433" w:rsidRDefault="001170D2">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b) </w:t>
      </w:r>
      <w:r w:rsidR="00DA6E0A" w:rsidRPr="00236433">
        <w:rPr>
          <w:rFonts w:asciiTheme="majorHAnsi" w:hAnsiTheme="majorHAnsi" w:cstheme="majorHAnsi"/>
          <w:color w:val="000000" w:themeColor="text1"/>
          <w:sz w:val="28"/>
          <w:szCs w:val="28"/>
          <w:lang w:val="es-ES"/>
        </w:rPr>
        <w:t>G</w:t>
      </w:r>
      <w:r w:rsidRPr="00236433">
        <w:rPr>
          <w:rFonts w:asciiTheme="majorHAnsi" w:hAnsiTheme="majorHAnsi" w:cstheme="majorHAnsi"/>
          <w:color w:val="000000" w:themeColor="text1"/>
          <w:sz w:val="28"/>
          <w:szCs w:val="28"/>
          <w:lang w:val="es-ES"/>
        </w:rPr>
        <w:t xml:space="preserve">iới hạn cho vay đối với một khách hàng, một khách hàng và người có liên quan của khách hàng theo quy định tại Điều 136 </w:t>
      </w:r>
      <w:r w:rsidRPr="00236433">
        <w:rPr>
          <w:rFonts w:asciiTheme="majorHAnsi" w:hAnsiTheme="majorHAnsi" w:cstheme="majorHAnsi"/>
          <w:color w:val="000000" w:themeColor="text1"/>
          <w:sz w:val="28"/>
          <w:szCs w:val="28"/>
          <w:lang w:val="nl-NL"/>
        </w:rPr>
        <w:t>Luật Các tổ chức tín dụng năm 2024.</w:t>
      </w:r>
    </w:p>
    <w:p w:rsidR="00B83E31"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2. Hội đồng quản trị quyết định các khoản cho vay đối với người thẩm định, </w:t>
      </w:r>
      <w:r w:rsidR="009C162A" w:rsidRPr="00236433">
        <w:rPr>
          <w:rFonts w:asciiTheme="majorHAnsi" w:hAnsiTheme="majorHAnsi" w:cstheme="majorHAnsi"/>
          <w:color w:val="000000" w:themeColor="text1"/>
          <w:sz w:val="28"/>
          <w:szCs w:val="28"/>
          <w:lang w:val="nl-NL"/>
        </w:rPr>
        <w:t xml:space="preserve">người </w:t>
      </w:r>
      <w:r w:rsidRPr="00236433">
        <w:rPr>
          <w:rFonts w:asciiTheme="majorHAnsi" w:hAnsiTheme="majorHAnsi" w:cstheme="majorHAnsi"/>
          <w:color w:val="000000" w:themeColor="text1"/>
          <w:sz w:val="28"/>
          <w:szCs w:val="28"/>
          <w:lang w:val="nl-NL"/>
        </w:rPr>
        <w:t>xét duyệt cho vay tại quỹ tín dụng nhân dân có giá trị từ 100 triệu đồng trở lên hoặc giá trị khác thấp hơn theo quy định nội bộ của quỹ tín dụng nhân dân. Các trường hợp còn lại thực hiện theo quy định nội bộ của quỹ tín dụng nhân dân.</w:t>
      </w:r>
    </w:p>
    <w:p w:rsidR="008C1884" w:rsidRPr="00236433" w:rsidRDefault="00B83E31">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3. </w:t>
      </w:r>
      <w:r w:rsidR="008C1884" w:rsidRPr="00236433">
        <w:rPr>
          <w:rFonts w:asciiTheme="majorHAnsi" w:hAnsiTheme="majorHAnsi" w:cstheme="majorHAnsi"/>
          <w:color w:val="000000" w:themeColor="text1"/>
          <w:sz w:val="28"/>
          <w:szCs w:val="28"/>
          <w:lang w:val="nl-NL"/>
        </w:rPr>
        <w:t>Đối với </w:t>
      </w:r>
      <w:r w:rsidR="008C1884" w:rsidRPr="00236433">
        <w:rPr>
          <w:rFonts w:asciiTheme="majorHAnsi" w:hAnsiTheme="majorHAnsi" w:cstheme="majorHAnsi"/>
          <w:color w:val="000000" w:themeColor="text1"/>
          <w:sz w:val="28"/>
          <w:szCs w:val="28"/>
          <w:shd w:val="clear" w:color="auto" w:fill="FFFFFF"/>
          <w:lang w:val="nl-NL"/>
        </w:rPr>
        <w:t xml:space="preserve">các khoản cho vay các đối tượng quy định tại </w:t>
      </w:r>
      <w:r w:rsidR="00DA6E0A" w:rsidRPr="00236433">
        <w:rPr>
          <w:rFonts w:asciiTheme="majorHAnsi" w:hAnsiTheme="majorHAnsi" w:cstheme="majorHAnsi"/>
          <w:color w:val="000000" w:themeColor="text1"/>
          <w:sz w:val="28"/>
          <w:szCs w:val="28"/>
          <w:shd w:val="clear" w:color="auto" w:fill="FFFFFF"/>
          <w:lang w:val="nl-NL"/>
        </w:rPr>
        <w:t xml:space="preserve">điểm a </w:t>
      </w:r>
      <w:r w:rsidR="008C1884" w:rsidRPr="00236433">
        <w:rPr>
          <w:rFonts w:asciiTheme="majorHAnsi" w:hAnsiTheme="majorHAnsi" w:cstheme="majorHAnsi"/>
          <w:color w:val="000000" w:themeColor="text1"/>
          <w:sz w:val="28"/>
          <w:szCs w:val="28"/>
          <w:shd w:val="clear" w:color="auto" w:fill="FFFFFF"/>
          <w:lang w:val="nl-NL"/>
        </w:rPr>
        <w:t>khoản 1 Điều này, q</w:t>
      </w:r>
      <w:r w:rsidR="008C1884" w:rsidRPr="00236433">
        <w:rPr>
          <w:rFonts w:asciiTheme="majorHAnsi" w:hAnsiTheme="majorHAnsi" w:cstheme="majorHAnsi"/>
          <w:color w:val="000000" w:themeColor="text1"/>
          <w:sz w:val="28"/>
          <w:szCs w:val="28"/>
          <w:lang w:val="nl-NL"/>
        </w:rPr>
        <w:t>uỹ tín dụng nhân dân phải:</w:t>
      </w:r>
    </w:p>
    <w:p w:rsidR="008C1884" w:rsidRPr="00236433" w:rsidRDefault="008C1884">
      <w:pPr>
        <w:pStyle w:val="NormalWeb"/>
        <w:shd w:val="clear" w:color="auto" w:fill="FFFFFF"/>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 xml:space="preserve">a) Báo cáo Ngân hàng Nhà nước chi nhánh tỉnh, thành phố </w:t>
      </w:r>
      <w:r w:rsidR="0083531B" w:rsidRPr="00236433">
        <w:rPr>
          <w:rFonts w:asciiTheme="majorHAnsi" w:hAnsiTheme="majorHAnsi" w:cstheme="majorHAnsi"/>
          <w:color w:val="000000" w:themeColor="text1"/>
          <w:sz w:val="28"/>
          <w:szCs w:val="28"/>
          <w:lang w:val="nl-NL"/>
        </w:rPr>
        <w:t>theo quy định của Ngân hàng Nhà nước</w:t>
      </w:r>
      <w:r w:rsidRPr="00236433">
        <w:rPr>
          <w:rFonts w:asciiTheme="majorHAnsi" w:hAnsiTheme="majorHAnsi" w:cstheme="majorHAnsi"/>
          <w:color w:val="000000" w:themeColor="text1"/>
          <w:sz w:val="28"/>
          <w:szCs w:val="28"/>
          <w:lang w:val="nl-NL"/>
        </w:rPr>
        <w:t>;</w:t>
      </w:r>
    </w:p>
    <w:p w:rsidR="008C1884" w:rsidRPr="00236433" w:rsidRDefault="008C1884">
      <w:pPr>
        <w:shd w:val="clear" w:color="auto" w:fill="FFFFFF"/>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shd w:val="clear" w:color="auto" w:fill="FFFFFF"/>
          <w:lang w:val="nl-NL"/>
        </w:rPr>
        <w:t>b) Công khai trước Đại hội thành viên đối với khoản cho vay phát sinh đến thời điểm lấy số liệu để họp Đại hội thành viên.</w:t>
      </w:r>
    </w:p>
    <w:p w:rsidR="004302D4" w:rsidRPr="00236433" w:rsidRDefault="008C4032">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shd w:val="clear" w:color="auto" w:fill="FFFFFF"/>
          <w:lang w:val="nl-NL"/>
        </w:rPr>
        <w:t>4.</w:t>
      </w:r>
      <w:r w:rsidR="008C1884" w:rsidRPr="00236433">
        <w:rPr>
          <w:rFonts w:asciiTheme="majorHAnsi" w:hAnsiTheme="majorHAnsi" w:cstheme="majorHAnsi"/>
          <w:color w:val="000000" w:themeColor="text1"/>
          <w:sz w:val="28"/>
          <w:szCs w:val="28"/>
          <w:shd w:val="clear" w:color="auto" w:fill="FFFFFF"/>
        </w:rPr>
        <w:t> </w:t>
      </w:r>
      <w:r w:rsidR="008C1884" w:rsidRPr="00236433">
        <w:rPr>
          <w:rFonts w:asciiTheme="majorHAnsi" w:hAnsiTheme="majorHAnsi" w:cstheme="majorHAnsi"/>
          <w:color w:val="000000" w:themeColor="text1"/>
          <w:sz w:val="28"/>
          <w:szCs w:val="28"/>
          <w:lang w:val="nl-NL"/>
        </w:rPr>
        <w:t xml:space="preserve">Tổng mức dư nợ cho vay đối với một thành viên là pháp nhân không được vượt quá tổng số vốn góp và số dư tiền gửi của pháp nhân đó tại quỹ tín dụng nhân dân tại mọi thời điểm. </w:t>
      </w:r>
    </w:p>
    <w:p w:rsidR="001D3D43" w:rsidRPr="00236433" w:rsidRDefault="008C1884">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Tổng mức dư nợ cho vay đối với khách hàng là pháp nhân, cá nhân không phải là thành viên không được vượt quá số dư của hợp đồng tiền gửi, sổ tiết kiệm.</w:t>
      </w:r>
    </w:p>
    <w:p w:rsidR="008872F9" w:rsidRPr="00236433" w:rsidRDefault="008872F9" w:rsidP="00236433">
      <w:pPr>
        <w:pStyle w:val="NormalWeb"/>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5. Các giới hạn quy định tại điểm b khoản 1 Điều này không áp dụng đối với:</w:t>
      </w:r>
    </w:p>
    <w:p w:rsidR="00BC73A5" w:rsidRPr="00236433" w:rsidRDefault="008872F9" w:rsidP="00236433">
      <w:pPr>
        <w:pStyle w:val="NormalWeb"/>
        <w:spacing w:before="0" w:beforeAutospacing="0" w:after="60" w:afterAutospacing="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a) Khoản cho vay từ nguồn vốn ủy thác của tổ chức, cá nhân mà quỹ tín dụng nhân dân nhận ủy thác không chịu rủi ro</w:t>
      </w:r>
      <w:r w:rsidR="00BC73A5" w:rsidRPr="00236433">
        <w:rPr>
          <w:rFonts w:asciiTheme="majorHAnsi" w:hAnsiTheme="majorHAnsi" w:cstheme="majorHAnsi"/>
          <w:color w:val="000000" w:themeColor="text1"/>
          <w:sz w:val="28"/>
          <w:szCs w:val="28"/>
          <w:lang w:val="nl-NL"/>
        </w:rPr>
        <w:t>;</w:t>
      </w:r>
    </w:p>
    <w:p w:rsidR="002577D9" w:rsidRPr="00236433" w:rsidRDefault="00BC73A5" w:rsidP="00236433">
      <w:pPr>
        <w:shd w:val="clear" w:color="auto" w:fill="FFFFFF"/>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b) Các khoản cho vay có bảo đảm toàn bộ bằng tiền gửi tại chính quỹ tín dụng nhân dân.</w:t>
      </w:r>
      <w:r w:rsidR="002577D9" w:rsidRPr="00236433">
        <w:rPr>
          <w:rFonts w:asciiTheme="majorHAnsi" w:hAnsiTheme="majorHAnsi" w:cstheme="majorHAnsi"/>
          <w:color w:val="000000" w:themeColor="text1"/>
          <w:sz w:val="28"/>
          <w:szCs w:val="28"/>
          <w:lang w:val="nl-NL"/>
        </w:rPr>
        <w:t>”</w:t>
      </w:r>
      <w:r w:rsidR="0005283F" w:rsidRPr="00236433">
        <w:rPr>
          <w:rFonts w:asciiTheme="majorHAnsi" w:hAnsiTheme="majorHAnsi" w:cstheme="majorHAnsi"/>
          <w:color w:val="000000" w:themeColor="text1"/>
          <w:sz w:val="28"/>
          <w:szCs w:val="28"/>
          <w:lang w:val="nl-NL"/>
        </w:rPr>
        <w:t>.</w:t>
      </w:r>
    </w:p>
    <w:p w:rsidR="002577D9" w:rsidRPr="00236433" w:rsidRDefault="001B663B">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9</w:t>
      </w:r>
      <w:r w:rsidR="002577D9" w:rsidRPr="00236433">
        <w:rPr>
          <w:rFonts w:asciiTheme="majorHAnsi" w:hAnsiTheme="majorHAnsi" w:cstheme="majorHAnsi"/>
          <w:color w:val="000000" w:themeColor="text1"/>
          <w:sz w:val="28"/>
          <w:szCs w:val="28"/>
          <w:lang w:val="nl-NL"/>
        </w:rPr>
        <w:t xml:space="preserve">. Bổ sung Điều 8a </w:t>
      </w:r>
      <w:r w:rsidR="00C96BC8" w:rsidRPr="00236433">
        <w:rPr>
          <w:rFonts w:asciiTheme="majorHAnsi" w:hAnsiTheme="majorHAnsi" w:cstheme="majorHAnsi"/>
          <w:color w:val="000000" w:themeColor="text1"/>
          <w:sz w:val="28"/>
          <w:szCs w:val="28"/>
          <w:lang w:val="nl-NL"/>
        </w:rPr>
        <w:t xml:space="preserve">vào </w:t>
      </w:r>
      <w:r w:rsidR="002577D9" w:rsidRPr="00236433">
        <w:rPr>
          <w:rFonts w:asciiTheme="majorHAnsi" w:hAnsiTheme="majorHAnsi" w:cstheme="majorHAnsi"/>
          <w:color w:val="000000" w:themeColor="text1"/>
          <w:sz w:val="28"/>
          <w:szCs w:val="28"/>
          <w:lang w:val="nl-NL"/>
        </w:rPr>
        <w:t>sau Điều 8 như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w:t>
      </w:r>
      <w:r w:rsidRPr="00236433">
        <w:rPr>
          <w:rFonts w:asciiTheme="majorHAnsi" w:hAnsiTheme="majorHAnsi" w:cstheme="majorHAnsi"/>
          <w:b/>
          <w:color w:val="000000" w:themeColor="text1"/>
          <w:sz w:val="28"/>
          <w:szCs w:val="28"/>
          <w:lang w:val="nl-NL"/>
        </w:rPr>
        <w:t>Điều 8a. Quỹ tín dụng nhân dân có nguy cơ mất khả năng chi trả, mất khả năng chi trả.</w:t>
      </w:r>
    </w:p>
    <w:p w:rsidR="002577D9" w:rsidRPr="00236433" w:rsidRDefault="004302D4">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1. </w:t>
      </w:r>
      <w:r w:rsidR="002577D9" w:rsidRPr="00236433">
        <w:rPr>
          <w:rFonts w:asciiTheme="majorHAnsi" w:hAnsiTheme="majorHAnsi" w:cstheme="majorHAnsi"/>
          <w:color w:val="000000" w:themeColor="text1"/>
          <w:sz w:val="28"/>
          <w:szCs w:val="28"/>
          <w:lang w:val="nl-NL"/>
        </w:rPr>
        <w:t xml:space="preserve">Quỹ tín dụng nhân dân có nguy cơ mất khả năng chi trả khi thiếu hụt Tài sản “Có” có thể thanh toán ngay ở mức 20% trở lên tại thời điểm tính toán tỷ lệ khả năng chi trả </w:t>
      </w:r>
      <w:r w:rsidR="002F350A" w:rsidRPr="00236433">
        <w:rPr>
          <w:rFonts w:asciiTheme="majorHAnsi" w:hAnsiTheme="majorHAnsi" w:cstheme="majorHAnsi"/>
          <w:color w:val="000000" w:themeColor="text1"/>
          <w:sz w:val="28"/>
          <w:szCs w:val="28"/>
          <w:lang w:val="nl-NL"/>
        </w:rPr>
        <w:t xml:space="preserve">dẫn đến </w:t>
      </w:r>
      <w:r w:rsidR="002577D9" w:rsidRPr="00236433">
        <w:rPr>
          <w:rFonts w:asciiTheme="majorHAnsi" w:hAnsiTheme="majorHAnsi" w:cstheme="majorHAnsi"/>
          <w:color w:val="000000" w:themeColor="text1"/>
          <w:sz w:val="28"/>
          <w:szCs w:val="28"/>
          <w:lang w:val="nl-NL"/>
        </w:rPr>
        <w:t>không duy trì được</w:t>
      </w:r>
      <w:r w:rsidRPr="00236433">
        <w:rPr>
          <w:rFonts w:asciiTheme="majorHAnsi" w:hAnsiTheme="majorHAnsi" w:cstheme="majorHAnsi"/>
          <w:color w:val="000000" w:themeColor="text1"/>
          <w:sz w:val="28"/>
          <w:szCs w:val="28"/>
          <w:lang w:val="nl-NL"/>
        </w:rPr>
        <w:t xml:space="preserve"> </w:t>
      </w:r>
      <w:r w:rsidR="002577D9" w:rsidRPr="00236433">
        <w:rPr>
          <w:rFonts w:asciiTheme="majorHAnsi" w:hAnsiTheme="majorHAnsi" w:cstheme="majorHAnsi"/>
          <w:color w:val="000000" w:themeColor="text1"/>
          <w:sz w:val="28"/>
          <w:szCs w:val="28"/>
          <w:lang w:val="nl-NL"/>
        </w:rPr>
        <w:t>tỷ lệ khả năng chi trả</w:t>
      </w:r>
      <w:r w:rsidR="002F350A" w:rsidRPr="00236433">
        <w:rPr>
          <w:rFonts w:asciiTheme="majorHAnsi" w:hAnsiTheme="majorHAnsi" w:cstheme="majorHAnsi"/>
          <w:color w:val="000000" w:themeColor="text1"/>
          <w:sz w:val="28"/>
          <w:szCs w:val="28"/>
          <w:lang w:val="nl-NL"/>
        </w:rPr>
        <w:t xml:space="preserve"> </w:t>
      </w:r>
      <w:r w:rsidRPr="00236433">
        <w:rPr>
          <w:color w:val="000000" w:themeColor="text1"/>
          <w:sz w:val="28"/>
          <w:szCs w:val="28"/>
        </w:rPr>
        <w:t xml:space="preserve">theo quy định tại Thông tư này </w:t>
      </w:r>
      <w:r w:rsidR="002577D9" w:rsidRPr="00236433">
        <w:rPr>
          <w:rFonts w:asciiTheme="majorHAnsi" w:hAnsiTheme="majorHAnsi" w:cstheme="majorHAnsi"/>
          <w:color w:val="000000" w:themeColor="text1"/>
          <w:sz w:val="28"/>
          <w:szCs w:val="28"/>
          <w:lang w:val="nl-NL"/>
        </w:rPr>
        <w:t xml:space="preserve">trong thời gian </w:t>
      </w:r>
      <w:r w:rsidR="00856F33" w:rsidRPr="00236433">
        <w:rPr>
          <w:rFonts w:asciiTheme="majorHAnsi" w:hAnsiTheme="majorHAnsi" w:cstheme="majorHAnsi"/>
          <w:color w:val="000000" w:themeColor="text1"/>
          <w:sz w:val="28"/>
          <w:szCs w:val="28"/>
          <w:lang w:val="nl-NL"/>
        </w:rPr>
        <w:t>30 ngày</w:t>
      </w:r>
      <w:r w:rsidR="000962C7" w:rsidRPr="00236433">
        <w:rPr>
          <w:rFonts w:asciiTheme="majorHAnsi" w:hAnsiTheme="majorHAnsi" w:cstheme="majorHAnsi"/>
          <w:color w:val="000000" w:themeColor="text1"/>
          <w:sz w:val="28"/>
          <w:szCs w:val="28"/>
          <w:lang w:val="nl-NL"/>
        </w:rPr>
        <w:t xml:space="preserve"> </w:t>
      </w:r>
      <w:r w:rsidR="002577D9" w:rsidRPr="00236433">
        <w:rPr>
          <w:rFonts w:asciiTheme="majorHAnsi" w:hAnsiTheme="majorHAnsi" w:cstheme="majorHAnsi"/>
          <w:color w:val="000000" w:themeColor="text1"/>
          <w:sz w:val="28"/>
          <w:szCs w:val="28"/>
          <w:lang w:val="nl-NL"/>
        </w:rPr>
        <w:t>liên tục.</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lastRenderedPageBreak/>
        <w:t>2. Quỹ tín dụng nhân dân mất khả năng chi trả khi không có khả năng thực hiện thanh toán nghĩa vụ nợ trong thời gian</w:t>
      </w:r>
      <w:r w:rsidR="00BB00BF" w:rsidRPr="00236433">
        <w:rPr>
          <w:rFonts w:asciiTheme="majorHAnsi" w:hAnsiTheme="majorHAnsi" w:cstheme="majorHAnsi"/>
          <w:color w:val="000000" w:themeColor="text1"/>
          <w:sz w:val="28"/>
          <w:szCs w:val="28"/>
          <w:lang w:val="nl-NL"/>
        </w:rPr>
        <w:t xml:space="preserve"> </w:t>
      </w:r>
      <w:r w:rsidR="004302D4" w:rsidRPr="00236433">
        <w:rPr>
          <w:rFonts w:asciiTheme="majorHAnsi" w:hAnsiTheme="majorHAnsi" w:cstheme="majorHAnsi"/>
          <w:color w:val="000000" w:themeColor="text1"/>
          <w:sz w:val="28"/>
          <w:szCs w:val="28"/>
          <w:lang w:val="nl-NL"/>
        </w:rPr>
        <w:t>01 tháng</w:t>
      </w:r>
      <w:r w:rsidRPr="00236433">
        <w:rPr>
          <w:rFonts w:asciiTheme="majorHAnsi" w:hAnsiTheme="majorHAnsi" w:cstheme="majorHAnsi"/>
          <w:color w:val="000000" w:themeColor="text1"/>
          <w:sz w:val="28"/>
          <w:szCs w:val="28"/>
          <w:lang w:val="nl-NL"/>
        </w:rPr>
        <w:t xml:space="preserve"> kể từ ngày đến hạn thanh toán.</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3. Khi có nguy cơ mất</w:t>
      </w:r>
      <w:r w:rsidR="009330C4" w:rsidRPr="00236433">
        <w:rPr>
          <w:rFonts w:asciiTheme="majorHAnsi" w:hAnsiTheme="majorHAnsi" w:cstheme="majorHAnsi"/>
          <w:color w:val="000000" w:themeColor="text1"/>
          <w:sz w:val="28"/>
          <w:szCs w:val="28"/>
          <w:lang w:val="nl-NL"/>
        </w:rPr>
        <w:t xml:space="preserve"> khả năng chi trả</w:t>
      </w:r>
      <w:r w:rsidRPr="00236433">
        <w:rPr>
          <w:rFonts w:asciiTheme="majorHAnsi" w:hAnsiTheme="majorHAnsi" w:cstheme="majorHAnsi"/>
          <w:color w:val="000000" w:themeColor="text1"/>
          <w:sz w:val="28"/>
          <w:szCs w:val="28"/>
          <w:lang w:val="nl-NL"/>
        </w:rPr>
        <w:t xml:space="preserve">, mất khả năng chi trả, Quỹ tín dụng nhân dân phải kịp thời báo cáo </w:t>
      </w:r>
      <w:r w:rsidR="00CA3F57" w:rsidRPr="00236433">
        <w:rPr>
          <w:rFonts w:asciiTheme="majorHAnsi" w:hAnsiTheme="majorHAnsi" w:cstheme="majorHAnsi"/>
          <w:color w:val="000000" w:themeColor="text1"/>
          <w:sz w:val="28"/>
          <w:szCs w:val="28"/>
          <w:lang w:val="nl-NL"/>
        </w:rPr>
        <w:t xml:space="preserve">với </w:t>
      </w:r>
      <w:r w:rsidRPr="00236433">
        <w:rPr>
          <w:rFonts w:asciiTheme="majorHAnsi" w:hAnsiTheme="majorHAnsi" w:cstheme="majorHAnsi"/>
          <w:color w:val="000000" w:themeColor="text1"/>
          <w:sz w:val="28"/>
          <w:szCs w:val="28"/>
          <w:lang w:val="nl-NL"/>
        </w:rPr>
        <w:t>Ngân hàng Nhà nước chi nhánh tỉnh, thành phố</w:t>
      </w:r>
      <w:r w:rsidR="00CA3F57" w:rsidRPr="00236433">
        <w:rPr>
          <w:rFonts w:asciiTheme="majorHAnsi" w:hAnsiTheme="majorHAnsi" w:cstheme="majorHAnsi"/>
          <w:color w:val="000000" w:themeColor="text1"/>
          <w:sz w:val="28"/>
          <w:szCs w:val="28"/>
          <w:lang w:val="nl-NL"/>
        </w:rPr>
        <w:t xml:space="preserve"> và thông báo cho Ngân hàng Hợp tác xã chi nhánh</w:t>
      </w:r>
      <w:r w:rsidRPr="00236433">
        <w:rPr>
          <w:rFonts w:asciiTheme="majorHAnsi" w:hAnsiTheme="majorHAnsi" w:cstheme="majorHAnsi"/>
          <w:color w:val="000000" w:themeColor="text1"/>
          <w:sz w:val="28"/>
          <w:szCs w:val="28"/>
          <w:lang w:val="nl-NL"/>
        </w:rPr>
        <w:t xml:space="preserve"> về thực trạng, nguyên nhân, các biện pháp đã áp dụng, các biện pháp dự kiến áp dụng để khắc phục và các đề xuất, kiến nghị với Ngân hàng Nhà nước chi nhánh tỉnh, thành phố</w:t>
      </w:r>
      <w:r w:rsidR="007E3A47" w:rsidRPr="00236433">
        <w:rPr>
          <w:rFonts w:asciiTheme="majorHAnsi" w:hAnsiTheme="majorHAnsi" w:cstheme="majorHAnsi"/>
          <w:color w:val="000000" w:themeColor="text1"/>
          <w:sz w:val="28"/>
          <w:szCs w:val="28"/>
          <w:lang w:val="nl-NL"/>
        </w:rPr>
        <w:t xml:space="preserve"> </w:t>
      </w:r>
      <w:r w:rsidR="00CA3F57" w:rsidRPr="00236433">
        <w:rPr>
          <w:rFonts w:asciiTheme="majorHAnsi" w:hAnsiTheme="majorHAnsi" w:cstheme="majorHAnsi"/>
          <w:color w:val="000000" w:themeColor="text1"/>
          <w:sz w:val="28"/>
          <w:szCs w:val="28"/>
          <w:lang w:val="nl-NL"/>
        </w:rPr>
        <w:t>(nếu có)</w:t>
      </w:r>
      <w:r w:rsidRPr="00236433">
        <w:rPr>
          <w:rFonts w:asciiTheme="majorHAnsi" w:hAnsiTheme="majorHAnsi" w:cstheme="majorHAnsi"/>
          <w:color w:val="000000" w:themeColor="text1"/>
          <w:sz w:val="28"/>
          <w:szCs w:val="28"/>
          <w:lang w:val="nl-NL"/>
        </w:rPr>
        <w:t>.”</w:t>
      </w:r>
      <w:r w:rsidR="00C96BC8" w:rsidRPr="00236433">
        <w:rPr>
          <w:rFonts w:asciiTheme="majorHAnsi" w:hAnsiTheme="majorHAnsi" w:cstheme="majorHAnsi"/>
          <w:color w:val="000000" w:themeColor="text1"/>
          <w:sz w:val="28"/>
          <w:szCs w:val="28"/>
          <w:lang w:val="nl-NL"/>
        </w:rPr>
        <w:t>.</w:t>
      </w:r>
    </w:p>
    <w:p w:rsidR="002577D9" w:rsidRPr="00236433" w:rsidRDefault="00936DBF">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10</w:t>
      </w:r>
      <w:r w:rsidR="002577D9" w:rsidRPr="00236433">
        <w:rPr>
          <w:rFonts w:asciiTheme="majorHAnsi" w:hAnsiTheme="majorHAnsi" w:cstheme="majorHAnsi"/>
          <w:color w:val="000000" w:themeColor="text1"/>
          <w:sz w:val="28"/>
          <w:szCs w:val="28"/>
          <w:lang w:val="nl-NL"/>
        </w:rPr>
        <w:t xml:space="preserve">. </w:t>
      </w:r>
      <w:r w:rsidR="0094754D" w:rsidRPr="00236433">
        <w:rPr>
          <w:rFonts w:asciiTheme="majorHAnsi" w:hAnsiTheme="majorHAnsi" w:cstheme="majorHAnsi"/>
          <w:color w:val="000000" w:themeColor="text1"/>
          <w:sz w:val="28"/>
          <w:szCs w:val="28"/>
          <w:lang w:val="nl-NL"/>
        </w:rPr>
        <w:t xml:space="preserve">Sửa đổi, bổ sung </w:t>
      </w:r>
      <w:r w:rsidR="002577D9" w:rsidRPr="00236433">
        <w:rPr>
          <w:rFonts w:asciiTheme="majorHAnsi" w:hAnsiTheme="majorHAnsi" w:cstheme="majorHAnsi"/>
          <w:color w:val="000000" w:themeColor="text1"/>
          <w:sz w:val="28"/>
          <w:szCs w:val="28"/>
          <w:lang w:val="nl-NL"/>
        </w:rPr>
        <w:t>Điều 15 như sau:</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w:t>
      </w:r>
      <w:r w:rsidRPr="00236433">
        <w:rPr>
          <w:rFonts w:asciiTheme="majorHAnsi" w:hAnsiTheme="majorHAnsi" w:cstheme="majorHAnsi"/>
          <w:b/>
          <w:color w:val="000000" w:themeColor="text1"/>
          <w:sz w:val="28"/>
          <w:szCs w:val="28"/>
          <w:lang w:val="nl-NL"/>
        </w:rPr>
        <w:t>Điều 1</w:t>
      </w:r>
      <w:r w:rsidR="0094754D" w:rsidRPr="00236433">
        <w:rPr>
          <w:rFonts w:asciiTheme="majorHAnsi" w:hAnsiTheme="majorHAnsi" w:cstheme="majorHAnsi"/>
          <w:b/>
          <w:color w:val="000000" w:themeColor="text1"/>
          <w:sz w:val="28"/>
          <w:szCs w:val="28"/>
          <w:lang w:val="nl-NL"/>
        </w:rPr>
        <w:t>5</w:t>
      </w:r>
      <w:r w:rsidRPr="00236433">
        <w:rPr>
          <w:rFonts w:asciiTheme="majorHAnsi" w:hAnsiTheme="majorHAnsi" w:cstheme="majorHAnsi"/>
          <w:b/>
          <w:color w:val="000000" w:themeColor="text1"/>
          <w:sz w:val="28"/>
          <w:szCs w:val="28"/>
          <w:lang w:val="nl-NL"/>
        </w:rPr>
        <w:t>. Trách nhiệm của các đơn vị thuộc Ngân hàng Nhà nước</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 xml:space="preserve">1. Cơ quan Thanh tra, giám sát ngân hàng có trách nhiệm chủ trì, phối hợp với các Vụ, Cục thuộc Ngân hàng Nhà nước trình Thống đốc Ngân hàng Nhà nước </w:t>
      </w:r>
      <w:r w:rsidR="00E97535" w:rsidRPr="00236433">
        <w:rPr>
          <w:rFonts w:asciiTheme="majorHAnsi" w:hAnsiTheme="majorHAnsi" w:cstheme="majorHAnsi"/>
          <w:color w:val="000000" w:themeColor="text1"/>
          <w:sz w:val="28"/>
          <w:szCs w:val="28"/>
          <w:lang w:val="nl-NL"/>
        </w:rPr>
        <w:t>xử lý khó khăn, vướng mắc trong quá trình thực hiện Thông tư này</w:t>
      </w:r>
      <w:r w:rsidRPr="00236433">
        <w:rPr>
          <w:rFonts w:asciiTheme="majorHAnsi" w:hAnsiTheme="majorHAnsi" w:cstheme="majorHAnsi"/>
          <w:color w:val="000000" w:themeColor="text1"/>
          <w:sz w:val="28"/>
          <w:szCs w:val="28"/>
          <w:lang w:val="nl-NL"/>
        </w:rPr>
        <w:t xml:space="preserve">. </w:t>
      </w:r>
    </w:p>
    <w:p w:rsidR="00F8637E" w:rsidRPr="00236433" w:rsidRDefault="00F8637E">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2. Ngân hàng Nhà nước chi nhánh tỉnh, thành phố có trách nhiệm:</w:t>
      </w:r>
    </w:p>
    <w:p w:rsidR="00F8637E" w:rsidRPr="00236433" w:rsidRDefault="00F8637E">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a) Quyết định việc quỹ tín dụng nhân dân phải duy trì các giới hạn, tỷ lệ đảm bảo an toàn theo quy định tại khoản 2 Điều 1 Thông tư này</w:t>
      </w:r>
      <w:r w:rsidR="00522ED4" w:rsidRPr="00236433">
        <w:rPr>
          <w:rFonts w:asciiTheme="majorHAnsi" w:hAnsiTheme="majorHAnsi" w:cstheme="majorHAnsi"/>
          <w:color w:val="000000" w:themeColor="text1"/>
          <w:sz w:val="28"/>
          <w:szCs w:val="28"/>
        </w:rPr>
        <w:t>;</w:t>
      </w:r>
    </w:p>
    <w:p w:rsidR="00F8637E" w:rsidRPr="00236433" w:rsidRDefault="00F8637E">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b) Thanh tra, giám sát, xử lý đối với các hành vi vi phạm của quỹ tín dụng nhân dân trên địa bàn trong việc thực hiện các quy định tại Thông tư này;</w:t>
      </w:r>
    </w:p>
    <w:p w:rsidR="00F8637E" w:rsidRPr="00236433" w:rsidRDefault="00F8637E">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c) Hướng dẫn các quỹ tín dụng nhân dân trên địa bàn trong việc thực hiện các quy định tại Thông tư này;</w:t>
      </w:r>
    </w:p>
    <w:p w:rsidR="002577D9" w:rsidRPr="00236433" w:rsidRDefault="00F8637E">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rPr>
        <w:t>d) Tiếp nhận quy định nộ</w:t>
      </w:r>
      <w:r w:rsidR="004302D4" w:rsidRPr="00236433">
        <w:rPr>
          <w:rFonts w:asciiTheme="majorHAnsi" w:hAnsiTheme="majorHAnsi" w:cstheme="majorHAnsi"/>
          <w:color w:val="000000" w:themeColor="text1"/>
          <w:sz w:val="28"/>
          <w:szCs w:val="28"/>
        </w:rPr>
        <w:t xml:space="preserve">i bộ của quỹ tín dụng nhân dân </w:t>
      </w:r>
      <w:r w:rsidRPr="00236433">
        <w:rPr>
          <w:rFonts w:asciiTheme="majorHAnsi" w:hAnsiTheme="majorHAnsi" w:cstheme="majorHAnsi"/>
          <w:color w:val="000000" w:themeColor="text1"/>
          <w:sz w:val="28"/>
          <w:szCs w:val="28"/>
        </w:rPr>
        <w:t>theo quy đị</w:t>
      </w:r>
      <w:r w:rsidR="003038A5" w:rsidRPr="00236433">
        <w:rPr>
          <w:rFonts w:asciiTheme="majorHAnsi" w:hAnsiTheme="majorHAnsi" w:cstheme="majorHAnsi"/>
          <w:color w:val="000000" w:themeColor="text1"/>
          <w:sz w:val="28"/>
          <w:szCs w:val="28"/>
        </w:rPr>
        <w:t>nh tại Thông tư này.</w:t>
      </w:r>
      <w:r w:rsidR="002577D9" w:rsidRPr="00236433">
        <w:rPr>
          <w:rFonts w:asciiTheme="majorHAnsi" w:hAnsiTheme="majorHAnsi" w:cstheme="majorHAnsi"/>
          <w:color w:val="000000" w:themeColor="text1"/>
          <w:sz w:val="28"/>
          <w:szCs w:val="28"/>
          <w:lang w:val="nl-NL"/>
        </w:rPr>
        <w:t>”</w:t>
      </w:r>
      <w:r w:rsidR="00006356" w:rsidRPr="00236433">
        <w:rPr>
          <w:rFonts w:asciiTheme="majorHAnsi" w:hAnsiTheme="majorHAnsi" w:cstheme="majorHAnsi"/>
          <w:color w:val="000000" w:themeColor="text1"/>
          <w:sz w:val="28"/>
          <w:szCs w:val="28"/>
          <w:lang w:val="nl-NL"/>
        </w:rPr>
        <w:t>.</w:t>
      </w:r>
    </w:p>
    <w:p w:rsidR="00342087" w:rsidRPr="00236433" w:rsidRDefault="00E8409D">
      <w:pPr>
        <w:spacing w:after="60" w:line="276" w:lineRule="auto"/>
        <w:ind w:firstLine="720"/>
        <w:jc w:val="both"/>
        <w:rPr>
          <w:rFonts w:asciiTheme="majorHAnsi" w:hAnsiTheme="majorHAnsi" w:cstheme="majorHAnsi"/>
          <w:b/>
          <w:bCs/>
          <w:color w:val="000000" w:themeColor="text1"/>
          <w:sz w:val="28"/>
          <w:szCs w:val="28"/>
        </w:rPr>
      </w:pPr>
      <w:bookmarkStart w:id="7" w:name="chuong_5"/>
      <w:r w:rsidRPr="00236433">
        <w:rPr>
          <w:rFonts w:asciiTheme="majorHAnsi" w:hAnsiTheme="majorHAnsi" w:cstheme="majorHAnsi"/>
          <w:b/>
          <w:color w:val="000000" w:themeColor="text1"/>
          <w:sz w:val="28"/>
          <w:szCs w:val="28"/>
          <w:lang w:val="nl-NL"/>
        </w:rPr>
        <w:t>Đ</w:t>
      </w:r>
      <w:r w:rsidR="00511358" w:rsidRPr="00236433">
        <w:rPr>
          <w:rFonts w:asciiTheme="majorHAnsi" w:hAnsiTheme="majorHAnsi" w:cstheme="majorHAnsi"/>
          <w:b/>
          <w:color w:val="000000" w:themeColor="text1"/>
          <w:sz w:val="28"/>
          <w:szCs w:val="28"/>
          <w:lang w:val="nl-NL"/>
        </w:rPr>
        <w:t>iều 2</w:t>
      </w:r>
      <w:r w:rsidR="002577D9" w:rsidRPr="00236433">
        <w:rPr>
          <w:rFonts w:asciiTheme="majorHAnsi" w:hAnsiTheme="majorHAnsi" w:cstheme="majorHAnsi"/>
          <w:b/>
          <w:color w:val="000000" w:themeColor="text1"/>
          <w:sz w:val="28"/>
          <w:szCs w:val="28"/>
          <w:lang w:val="nl-NL"/>
        </w:rPr>
        <w:t xml:space="preserve">. </w:t>
      </w:r>
      <w:r w:rsidR="00342087" w:rsidRPr="00236433">
        <w:rPr>
          <w:rFonts w:asciiTheme="majorHAnsi" w:hAnsiTheme="majorHAnsi" w:cstheme="majorHAnsi"/>
          <w:b/>
          <w:bCs/>
          <w:color w:val="000000" w:themeColor="text1"/>
          <w:sz w:val="28"/>
          <w:szCs w:val="28"/>
        </w:rPr>
        <w:t>Thay thế, bãi bỏ một số</w:t>
      </w:r>
      <w:r w:rsidR="00601CE0" w:rsidRPr="00236433">
        <w:rPr>
          <w:rFonts w:asciiTheme="majorHAnsi" w:hAnsiTheme="majorHAnsi" w:cstheme="majorHAnsi"/>
          <w:b/>
          <w:bCs/>
          <w:color w:val="000000" w:themeColor="text1"/>
          <w:sz w:val="28"/>
          <w:szCs w:val="28"/>
        </w:rPr>
        <w:t xml:space="preserve"> </w:t>
      </w:r>
      <w:r w:rsidR="005D27E4" w:rsidRPr="00236433">
        <w:rPr>
          <w:rFonts w:asciiTheme="majorHAnsi" w:hAnsiTheme="majorHAnsi" w:cstheme="majorHAnsi"/>
          <w:b/>
          <w:bCs/>
          <w:color w:val="000000" w:themeColor="text1"/>
          <w:sz w:val="28"/>
          <w:szCs w:val="28"/>
        </w:rPr>
        <w:t>điểm</w:t>
      </w:r>
      <w:r w:rsidR="00601CE0" w:rsidRPr="00236433">
        <w:rPr>
          <w:rFonts w:asciiTheme="majorHAnsi" w:hAnsiTheme="majorHAnsi" w:cstheme="majorHAnsi"/>
          <w:b/>
          <w:bCs/>
          <w:color w:val="000000" w:themeColor="text1"/>
          <w:sz w:val="28"/>
          <w:szCs w:val="28"/>
        </w:rPr>
        <w:t>, khoản</w:t>
      </w:r>
      <w:r w:rsidR="0062606B" w:rsidRPr="00236433">
        <w:rPr>
          <w:rFonts w:asciiTheme="majorHAnsi" w:hAnsiTheme="majorHAnsi" w:cstheme="majorHAnsi"/>
          <w:b/>
          <w:bCs/>
          <w:color w:val="000000" w:themeColor="text1"/>
          <w:sz w:val="28"/>
          <w:szCs w:val="28"/>
        </w:rPr>
        <w:t>,</w:t>
      </w:r>
      <w:r w:rsidR="00342087" w:rsidRPr="00236433">
        <w:rPr>
          <w:rFonts w:asciiTheme="majorHAnsi" w:hAnsiTheme="majorHAnsi" w:cstheme="majorHAnsi"/>
          <w:b/>
          <w:bCs/>
          <w:color w:val="000000" w:themeColor="text1"/>
          <w:sz w:val="28"/>
          <w:szCs w:val="28"/>
        </w:rPr>
        <w:t xml:space="preserve"> điều của Thông tư số 32/2015/TT-NHNN ngày 31 tháng 12 năm 2015 của Thống đốc Ngân hàng Nhà nước Việt Nam quy định các giới hạn, tỷ lệ bảo đảm an toàn trong hoạt động của quỹ tín dụng nhân dân:</w:t>
      </w:r>
    </w:p>
    <w:p w:rsidR="00342087" w:rsidRPr="00236433" w:rsidRDefault="00342087">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lang w:val="nl-NL"/>
        </w:rPr>
        <w:t xml:space="preserve">1. </w:t>
      </w:r>
      <w:r w:rsidRPr="00236433">
        <w:rPr>
          <w:rFonts w:asciiTheme="majorHAnsi" w:hAnsiTheme="majorHAnsi" w:cstheme="majorHAnsi"/>
          <w:color w:val="000000" w:themeColor="text1"/>
          <w:sz w:val="28"/>
          <w:szCs w:val="28"/>
        </w:rPr>
        <w:t>Thay thế</w:t>
      </w:r>
      <w:r w:rsidRPr="00236433">
        <w:rPr>
          <w:rFonts w:asciiTheme="majorHAnsi" w:hAnsiTheme="majorHAnsi" w:cstheme="majorHAnsi"/>
          <w:color w:val="000000" w:themeColor="text1"/>
          <w:sz w:val="28"/>
          <w:szCs w:val="28"/>
          <w:lang w:val="nl-NL"/>
        </w:rPr>
        <w:t xml:space="preserve"> </w:t>
      </w:r>
      <w:r w:rsidRPr="00236433">
        <w:rPr>
          <w:rFonts w:asciiTheme="majorHAnsi" w:hAnsiTheme="majorHAnsi" w:cstheme="majorHAnsi"/>
          <w:color w:val="000000" w:themeColor="text1"/>
          <w:sz w:val="28"/>
          <w:szCs w:val="28"/>
        </w:rPr>
        <w:t>Phụ lục 01, Phụ lục 02, Phụ lục 03 của Thông tư 32/2015/TT-NHNN bằng Phụ lục 01, Phụ lục 02, Phụ lục 03 ban hành kèm theo Thông tư này.</w:t>
      </w:r>
    </w:p>
    <w:p w:rsidR="00342087" w:rsidRPr="00236433" w:rsidRDefault="00BA119B">
      <w:pPr>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2. Bãi bỏ k</w:t>
      </w:r>
      <w:r w:rsidR="00094550" w:rsidRPr="00236433">
        <w:rPr>
          <w:rFonts w:asciiTheme="majorHAnsi" w:hAnsiTheme="majorHAnsi" w:cstheme="majorHAnsi"/>
          <w:color w:val="000000" w:themeColor="text1"/>
          <w:sz w:val="28"/>
          <w:szCs w:val="28"/>
        </w:rPr>
        <w:t>hoản 2 Điều 2</w:t>
      </w:r>
      <w:r w:rsidR="00342087" w:rsidRPr="00236433">
        <w:rPr>
          <w:rFonts w:asciiTheme="majorHAnsi" w:hAnsiTheme="majorHAnsi" w:cstheme="majorHAnsi"/>
          <w:color w:val="000000" w:themeColor="text1"/>
          <w:sz w:val="28"/>
          <w:szCs w:val="28"/>
        </w:rPr>
        <w:t>,</w:t>
      </w:r>
      <w:r w:rsidRPr="00236433">
        <w:rPr>
          <w:rFonts w:asciiTheme="majorHAnsi" w:hAnsiTheme="majorHAnsi" w:cstheme="majorHAnsi"/>
          <w:color w:val="000000" w:themeColor="text1"/>
          <w:sz w:val="28"/>
          <w:szCs w:val="28"/>
        </w:rPr>
        <w:t xml:space="preserve"> điểm a (vi) khoản 4 Điều 5,</w:t>
      </w:r>
      <w:r w:rsidR="00342087" w:rsidRPr="00236433">
        <w:rPr>
          <w:rFonts w:asciiTheme="majorHAnsi" w:hAnsiTheme="majorHAnsi" w:cstheme="majorHAnsi"/>
          <w:color w:val="000000" w:themeColor="text1"/>
          <w:sz w:val="28"/>
          <w:szCs w:val="28"/>
        </w:rPr>
        <w:t xml:space="preserve"> Mục 2 Chương II, </w:t>
      </w:r>
      <w:r w:rsidR="00094550" w:rsidRPr="00236433">
        <w:rPr>
          <w:rFonts w:asciiTheme="majorHAnsi" w:hAnsiTheme="majorHAnsi" w:cstheme="majorHAnsi"/>
          <w:color w:val="000000" w:themeColor="text1"/>
          <w:sz w:val="28"/>
          <w:szCs w:val="28"/>
        </w:rPr>
        <w:t xml:space="preserve">Chương III </w:t>
      </w:r>
      <w:r w:rsidR="00342087" w:rsidRPr="00236433">
        <w:rPr>
          <w:rFonts w:asciiTheme="majorHAnsi" w:hAnsiTheme="majorHAnsi" w:cstheme="majorHAnsi"/>
          <w:color w:val="000000" w:themeColor="text1"/>
          <w:sz w:val="28"/>
          <w:szCs w:val="28"/>
        </w:rPr>
        <w:t>Thông tư số 32/2015/TT-NHNN.</w:t>
      </w:r>
    </w:p>
    <w:p w:rsidR="00FD7F43" w:rsidRPr="00236433" w:rsidRDefault="003E05D1">
      <w:pPr>
        <w:spacing w:after="60" w:line="276" w:lineRule="auto"/>
        <w:ind w:firstLine="720"/>
        <w:jc w:val="both"/>
        <w:rPr>
          <w:rFonts w:asciiTheme="majorHAnsi" w:hAnsiTheme="majorHAnsi" w:cstheme="majorHAnsi"/>
          <w:b/>
          <w:bCs/>
          <w:color w:val="000000" w:themeColor="text1"/>
          <w:sz w:val="28"/>
          <w:szCs w:val="28"/>
          <w:lang w:val="nl-NL"/>
        </w:rPr>
      </w:pPr>
      <w:r w:rsidRPr="00236433">
        <w:rPr>
          <w:rFonts w:asciiTheme="majorHAnsi" w:hAnsiTheme="majorHAnsi" w:cstheme="majorHAnsi"/>
          <w:b/>
          <w:bCs/>
          <w:color w:val="000000" w:themeColor="text1"/>
          <w:sz w:val="28"/>
          <w:szCs w:val="28"/>
          <w:lang w:val="nl-NL"/>
        </w:rPr>
        <w:t xml:space="preserve">Điều </w:t>
      </w:r>
      <w:r w:rsidR="00511358" w:rsidRPr="00236433">
        <w:rPr>
          <w:rFonts w:asciiTheme="majorHAnsi" w:hAnsiTheme="majorHAnsi" w:cstheme="majorHAnsi"/>
          <w:b/>
          <w:bCs/>
          <w:color w:val="000000" w:themeColor="text1"/>
          <w:sz w:val="28"/>
          <w:szCs w:val="28"/>
          <w:lang w:val="nl-NL"/>
        </w:rPr>
        <w:t>3</w:t>
      </w:r>
      <w:r w:rsidRPr="00236433">
        <w:rPr>
          <w:rFonts w:asciiTheme="majorHAnsi" w:hAnsiTheme="majorHAnsi" w:cstheme="majorHAnsi"/>
          <w:b/>
          <w:bCs/>
          <w:color w:val="000000" w:themeColor="text1"/>
          <w:sz w:val="28"/>
          <w:szCs w:val="28"/>
          <w:lang w:val="nl-NL"/>
        </w:rPr>
        <w:t xml:space="preserve">. Trách nhiệm tổ chức thực hiện: </w:t>
      </w:r>
    </w:p>
    <w:p w:rsidR="002577D9" w:rsidRPr="00236433" w:rsidRDefault="002577D9">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lang w:val="nl-NL"/>
        </w:rPr>
        <w:t>Chánh Văn phòng, Chánh Thanh tra, giám sát ngân hàng, Thủ trưởng đơn vị thuộc Ngân hàng Nhà nước Việt Nam, Ngân hàng nhà nước chi nhánh tỉnh, thành phố, quỹ tín dụng nhân dân chịu trách nhiệm tổ chức thực hiện Thông tư này.</w:t>
      </w:r>
      <w:bookmarkEnd w:id="7"/>
    </w:p>
    <w:p w:rsidR="00511358" w:rsidRPr="00236433" w:rsidRDefault="00284B8A">
      <w:pPr>
        <w:shd w:val="solid" w:color="FFFFFF" w:fill="auto"/>
        <w:spacing w:after="60" w:line="276" w:lineRule="auto"/>
        <w:ind w:firstLine="720"/>
        <w:jc w:val="both"/>
        <w:rPr>
          <w:rFonts w:asciiTheme="majorHAnsi" w:hAnsiTheme="majorHAnsi" w:cstheme="majorHAnsi"/>
          <w:b/>
          <w:color w:val="000000" w:themeColor="text1"/>
          <w:sz w:val="28"/>
          <w:szCs w:val="28"/>
          <w:lang w:val="nl-NL"/>
        </w:rPr>
      </w:pPr>
      <w:r w:rsidRPr="00236433">
        <w:rPr>
          <w:rFonts w:asciiTheme="majorHAnsi" w:hAnsiTheme="majorHAnsi" w:cstheme="majorHAnsi"/>
          <w:b/>
          <w:color w:val="000000" w:themeColor="text1"/>
          <w:sz w:val="28"/>
          <w:szCs w:val="28"/>
          <w:lang w:val="nl-NL"/>
        </w:rPr>
        <w:lastRenderedPageBreak/>
        <w:t xml:space="preserve">Điều </w:t>
      </w:r>
      <w:r w:rsidR="00511358" w:rsidRPr="00236433">
        <w:rPr>
          <w:rFonts w:asciiTheme="majorHAnsi" w:hAnsiTheme="majorHAnsi" w:cstheme="majorHAnsi"/>
          <w:b/>
          <w:color w:val="000000" w:themeColor="text1"/>
          <w:sz w:val="28"/>
          <w:szCs w:val="28"/>
          <w:lang w:val="nl-NL"/>
        </w:rPr>
        <w:t>4</w:t>
      </w:r>
      <w:r w:rsidRPr="00236433">
        <w:rPr>
          <w:rFonts w:asciiTheme="majorHAnsi" w:hAnsiTheme="majorHAnsi" w:cstheme="majorHAnsi"/>
          <w:b/>
          <w:color w:val="000000" w:themeColor="text1"/>
          <w:sz w:val="28"/>
          <w:szCs w:val="28"/>
          <w:lang w:val="nl-NL"/>
        </w:rPr>
        <w:t xml:space="preserve">. </w:t>
      </w:r>
      <w:r w:rsidR="00511358" w:rsidRPr="00236433">
        <w:rPr>
          <w:rFonts w:asciiTheme="majorHAnsi" w:hAnsiTheme="majorHAnsi" w:cstheme="majorHAnsi"/>
          <w:b/>
          <w:color w:val="000000" w:themeColor="text1"/>
          <w:sz w:val="28"/>
          <w:szCs w:val="28"/>
          <w:lang w:val="nl-NL"/>
        </w:rPr>
        <w:t>Điều khoản</w:t>
      </w:r>
      <w:r w:rsidRPr="00236433">
        <w:rPr>
          <w:rFonts w:asciiTheme="majorHAnsi" w:hAnsiTheme="majorHAnsi" w:cstheme="majorHAnsi"/>
          <w:b/>
          <w:color w:val="000000" w:themeColor="text1"/>
          <w:sz w:val="28"/>
          <w:szCs w:val="28"/>
          <w:lang w:val="nl-NL"/>
        </w:rPr>
        <w:t xml:space="preserve"> thi hành:</w:t>
      </w:r>
    </w:p>
    <w:p w:rsidR="00601CE0" w:rsidRPr="00236433" w:rsidRDefault="00601CE0">
      <w:pPr>
        <w:shd w:val="solid" w:color="FFFFFF" w:fill="auto"/>
        <w:spacing w:after="60" w:line="276" w:lineRule="auto"/>
        <w:ind w:firstLine="720"/>
        <w:jc w:val="both"/>
        <w:rPr>
          <w:rFonts w:asciiTheme="majorHAnsi" w:hAnsiTheme="majorHAnsi" w:cstheme="majorHAnsi"/>
          <w:color w:val="000000" w:themeColor="text1"/>
          <w:sz w:val="28"/>
          <w:szCs w:val="28"/>
        </w:rPr>
      </w:pPr>
      <w:r w:rsidRPr="00236433">
        <w:rPr>
          <w:rFonts w:asciiTheme="majorHAnsi" w:hAnsiTheme="majorHAnsi" w:cstheme="majorHAnsi"/>
          <w:color w:val="000000" w:themeColor="text1"/>
          <w:sz w:val="28"/>
          <w:szCs w:val="28"/>
        </w:rPr>
        <w:t xml:space="preserve">1. Thông tư này có hiệu lực từ ngày </w:t>
      </w:r>
      <w:r w:rsidR="008E2539">
        <w:rPr>
          <w:rFonts w:asciiTheme="majorHAnsi" w:hAnsiTheme="majorHAnsi" w:cstheme="majorHAnsi"/>
          <w:color w:val="000000" w:themeColor="text1"/>
          <w:sz w:val="28"/>
          <w:szCs w:val="28"/>
        </w:rPr>
        <w:t>12</w:t>
      </w:r>
      <w:r w:rsidRPr="00236433">
        <w:rPr>
          <w:rFonts w:asciiTheme="majorHAnsi" w:hAnsiTheme="majorHAnsi" w:cstheme="majorHAnsi"/>
          <w:color w:val="000000" w:themeColor="text1"/>
          <w:sz w:val="28"/>
          <w:szCs w:val="28"/>
        </w:rPr>
        <w:t xml:space="preserve"> tháng </w:t>
      </w:r>
      <w:r w:rsidR="008E2539">
        <w:rPr>
          <w:rFonts w:asciiTheme="majorHAnsi" w:hAnsiTheme="majorHAnsi" w:cstheme="majorHAnsi"/>
          <w:color w:val="000000" w:themeColor="text1"/>
          <w:sz w:val="28"/>
          <w:szCs w:val="28"/>
        </w:rPr>
        <w:t>8</w:t>
      </w:r>
      <w:r w:rsidRPr="00236433">
        <w:rPr>
          <w:rFonts w:asciiTheme="majorHAnsi" w:hAnsiTheme="majorHAnsi" w:cstheme="majorHAnsi"/>
          <w:color w:val="000000" w:themeColor="text1"/>
          <w:sz w:val="28"/>
          <w:szCs w:val="28"/>
        </w:rPr>
        <w:t xml:space="preserve"> năm 2024.</w:t>
      </w:r>
    </w:p>
    <w:p w:rsidR="00601CE0" w:rsidRPr="00236433" w:rsidRDefault="00601CE0">
      <w:pPr>
        <w:spacing w:after="60" w:line="276" w:lineRule="auto"/>
        <w:ind w:firstLine="720"/>
        <w:jc w:val="both"/>
        <w:rPr>
          <w:rFonts w:asciiTheme="majorHAnsi" w:hAnsiTheme="majorHAnsi" w:cstheme="majorHAnsi"/>
          <w:color w:val="000000" w:themeColor="text1"/>
          <w:sz w:val="28"/>
          <w:szCs w:val="28"/>
          <w:lang w:val="nl-NL"/>
        </w:rPr>
      </w:pPr>
      <w:r w:rsidRPr="00236433">
        <w:rPr>
          <w:rFonts w:asciiTheme="majorHAnsi" w:hAnsiTheme="majorHAnsi" w:cstheme="majorHAnsi"/>
          <w:color w:val="000000" w:themeColor="text1"/>
          <w:sz w:val="28"/>
          <w:szCs w:val="28"/>
        </w:rPr>
        <w:t>2. Thông tư này bãi bỏ đoạn “2. Quỹ tín dụng nhân dân phải đảm bảo tổng mức nhận tiền gửi không được vượt quá 20 lần vốn chủ sở hữu” tại khoản 3, khoản 27 Điều 2, Điều 4, khoản 4 Điều 6 Thông tư số 21/2019/TT-NHNN</w:t>
      </w:r>
      <w:r w:rsidR="00181AF0" w:rsidRPr="00236433">
        <w:rPr>
          <w:rFonts w:asciiTheme="majorHAnsi" w:hAnsiTheme="majorHAnsi" w:cstheme="majorHAnsi"/>
          <w:color w:val="000000" w:themeColor="text1"/>
          <w:sz w:val="28"/>
          <w:szCs w:val="28"/>
        </w:rPr>
        <w:t xml:space="preserve"> ngày 14 tháng 11 năm 2019 của Thống đốc Ngân hàng Nhà nước Việt Nam sửa đổi, bổ sung một số điều của các Thông tư quy định về ngân hàng hợp tác xã, quỹ tín dụng nhân dân</w:t>
      </w:r>
      <w:r w:rsidRPr="00236433">
        <w:rPr>
          <w:rFonts w:asciiTheme="majorHAnsi" w:hAnsiTheme="majorHAnsi" w:cstheme="majorHAnsi"/>
          <w:color w:val="000000" w:themeColor="text1"/>
          <w:sz w:val="28"/>
          <w:szCs w:val="28"/>
          <w:lang w:val="nl-NL"/>
        </w:rPr>
        <w:t>.</w:t>
      </w:r>
    </w:p>
    <w:p w:rsidR="00CE3CA3" w:rsidRPr="00236433" w:rsidRDefault="00CE3CA3" w:rsidP="00534DAE">
      <w:pPr>
        <w:spacing w:after="60" w:line="276" w:lineRule="auto"/>
        <w:ind w:firstLine="720"/>
        <w:jc w:val="both"/>
        <w:rPr>
          <w:rFonts w:asciiTheme="majorHAnsi" w:hAnsiTheme="majorHAnsi" w:cstheme="majorHAnsi"/>
          <w:color w:val="000000" w:themeColor="text1"/>
          <w:sz w:val="28"/>
          <w:szCs w:val="28"/>
          <w:shd w:val="clear" w:color="auto" w:fill="FFFFFF"/>
        </w:rPr>
      </w:pPr>
    </w:p>
    <w:tbl>
      <w:tblPr>
        <w:tblW w:w="0" w:type="auto"/>
        <w:tblLook w:val="01E0" w:firstRow="1" w:lastRow="1" w:firstColumn="1" w:lastColumn="1" w:noHBand="0" w:noVBand="0"/>
      </w:tblPr>
      <w:tblGrid>
        <w:gridCol w:w="4428"/>
        <w:gridCol w:w="4428"/>
      </w:tblGrid>
      <w:tr w:rsidR="002577D9" w:rsidRPr="00E60532" w:rsidTr="00E11799">
        <w:tc>
          <w:tcPr>
            <w:tcW w:w="4428" w:type="dxa"/>
            <w:shd w:val="clear" w:color="auto" w:fill="auto"/>
          </w:tcPr>
          <w:p w:rsidR="002577D9" w:rsidRPr="00236433" w:rsidRDefault="002577D9" w:rsidP="009F37B4">
            <w:pPr>
              <w:spacing w:before="120"/>
              <w:rPr>
                <w:color w:val="000000" w:themeColor="text1"/>
                <w:lang w:val="nl-NL"/>
              </w:rPr>
            </w:pPr>
            <w:r w:rsidRPr="00236433">
              <w:rPr>
                <w:b/>
                <w:i/>
                <w:color w:val="000000" w:themeColor="text1"/>
                <w:lang w:val="nl-NL"/>
              </w:rPr>
              <w:t>Nơi nhận:</w:t>
            </w:r>
            <w:r w:rsidRPr="00236433">
              <w:rPr>
                <w:b/>
                <w:i/>
                <w:color w:val="000000" w:themeColor="text1"/>
                <w:lang w:val="nl-NL"/>
              </w:rPr>
              <w:br/>
            </w:r>
            <w:r w:rsidRPr="00236433">
              <w:rPr>
                <w:color w:val="000000" w:themeColor="text1"/>
                <w:sz w:val="22"/>
                <w:szCs w:val="22"/>
                <w:lang w:val="nl-NL"/>
              </w:rPr>
              <w:t xml:space="preserve">- Như Điều </w:t>
            </w:r>
            <w:r w:rsidR="009F37B4" w:rsidRPr="00236433">
              <w:rPr>
                <w:color w:val="000000" w:themeColor="text1"/>
                <w:sz w:val="22"/>
                <w:szCs w:val="22"/>
                <w:lang w:val="nl-NL"/>
              </w:rPr>
              <w:t>3</w:t>
            </w:r>
            <w:r w:rsidRPr="00236433">
              <w:rPr>
                <w:color w:val="000000" w:themeColor="text1"/>
                <w:sz w:val="22"/>
                <w:szCs w:val="22"/>
                <w:lang w:val="nl-NL"/>
              </w:rPr>
              <w:t>;</w:t>
            </w:r>
            <w:r w:rsidRPr="00236433">
              <w:rPr>
                <w:color w:val="000000" w:themeColor="text1"/>
                <w:sz w:val="22"/>
                <w:szCs w:val="22"/>
                <w:lang w:val="nl-NL"/>
              </w:rPr>
              <w:br/>
              <w:t>- Ban Lãnh đạo NHNN;</w:t>
            </w:r>
            <w:r w:rsidRPr="00236433">
              <w:rPr>
                <w:color w:val="000000" w:themeColor="text1"/>
                <w:sz w:val="22"/>
                <w:szCs w:val="22"/>
                <w:lang w:val="nl-NL"/>
              </w:rPr>
              <w:br/>
              <w:t>- Văn phòng Chính phủ;</w:t>
            </w:r>
            <w:r w:rsidRPr="00236433">
              <w:rPr>
                <w:color w:val="000000" w:themeColor="text1"/>
                <w:sz w:val="22"/>
                <w:szCs w:val="22"/>
                <w:lang w:val="nl-NL"/>
              </w:rPr>
              <w:br/>
              <w:t>- Bộ Tư pháp (để kiểm tra);</w:t>
            </w:r>
            <w:r w:rsidRPr="00236433">
              <w:rPr>
                <w:color w:val="000000" w:themeColor="text1"/>
                <w:sz w:val="22"/>
                <w:szCs w:val="22"/>
                <w:lang w:val="nl-NL"/>
              </w:rPr>
              <w:br/>
              <w:t>- Công báo;</w:t>
            </w:r>
            <w:r w:rsidRPr="00236433">
              <w:rPr>
                <w:color w:val="000000" w:themeColor="text1"/>
                <w:sz w:val="22"/>
                <w:szCs w:val="22"/>
                <w:lang w:val="nl-NL"/>
              </w:rPr>
              <w:br/>
              <w:t>- Lưu: VP, PC, TTGSNH3 (03 bản).</w:t>
            </w:r>
          </w:p>
        </w:tc>
        <w:tc>
          <w:tcPr>
            <w:tcW w:w="4428" w:type="dxa"/>
            <w:shd w:val="clear" w:color="auto" w:fill="auto"/>
          </w:tcPr>
          <w:p w:rsidR="002577D9" w:rsidRPr="00236433" w:rsidRDefault="002577D9" w:rsidP="00E11799">
            <w:pPr>
              <w:spacing w:before="120"/>
              <w:jc w:val="center"/>
              <w:rPr>
                <w:b/>
                <w:color w:val="000000" w:themeColor="text1"/>
                <w:sz w:val="28"/>
                <w:szCs w:val="28"/>
              </w:rPr>
            </w:pPr>
            <w:r w:rsidRPr="00236433">
              <w:rPr>
                <w:b/>
                <w:color w:val="000000" w:themeColor="text1"/>
                <w:sz w:val="28"/>
                <w:szCs w:val="28"/>
              </w:rPr>
              <w:t>THỐNG ĐỐC</w:t>
            </w:r>
            <w:r w:rsidRPr="00236433">
              <w:rPr>
                <w:b/>
                <w:color w:val="000000" w:themeColor="text1"/>
                <w:sz w:val="28"/>
                <w:szCs w:val="28"/>
              </w:rPr>
              <w:br/>
            </w:r>
            <w:r w:rsidRPr="00236433">
              <w:rPr>
                <w:b/>
                <w:color w:val="000000" w:themeColor="text1"/>
                <w:sz w:val="28"/>
                <w:szCs w:val="28"/>
              </w:rPr>
              <w:br/>
            </w:r>
            <w:r w:rsidRPr="00236433">
              <w:rPr>
                <w:b/>
                <w:color w:val="000000" w:themeColor="text1"/>
                <w:sz w:val="28"/>
                <w:szCs w:val="28"/>
              </w:rPr>
              <w:br/>
            </w:r>
            <w:r w:rsidRPr="00236433">
              <w:rPr>
                <w:b/>
                <w:color w:val="000000" w:themeColor="text1"/>
                <w:sz w:val="28"/>
                <w:szCs w:val="28"/>
              </w:rPr>
              <w:br/>
            </w:r>
          </w:p>
        </w:tc>
      </w:tr>
    </w:tbl>
    <w:p w:rsidR="00326B44" w:rsidRPr="00236433" w:rsidRDefault="00326B44">
      <w:pPr>
        <w:rPr>
          <w:color w:val="000000" w:themeColor="text1"/>
        </w:rPr>
      </w:pPr>
    </w:p>
    <w:sectPr w:rsidR="00326B44" w:rsidRPr="00236433" w:rsidSect="00BD3DFF">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1B" w:rsidRDefault="0014011B" w:rsidP="002577D9">
      <w:r>
        <w:separator/>
      </w:r>
    </w:p>
  </w:endnote>
  <w:endnote w:type="continuationSeparator" w:id="0">
    <w:p w:rsidR="0014011B" w:rsidRDefault="0014011B" w:rsidP="0025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1B" w:rsidRDefault="0014011B" w:rsidP="002577D9">
      <w:r>
        <w:separator/>
      </w:r>
    </w:p>
  </w:footnote>
  <w:footnote w:type="continuationSeparator" w:id="0">
    <w:p w:rsidR="0014011B" w:rsidRDefault="0014011B" w:rsidP="00257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258680"/>
      <w:docPartObj>
        <w:docPartGallery w:val="Page Numbers (Top of Page)"/>
        <w:docPartUnique/>
      </w:docPartObj>
    </w:sdtPr>
    <w:sdtEndPr>
      <w:rPr>
        <w:noProof/>
      </w:rPr>
    </w:sdtEndPr>
    <w:sdtContent>
      <w:p w:rsidR="002577D9" w:rsidRDefault="002577D9">
        <w:pPr>
          <w:pStyle w:val="Header"/>
          <w:jc w:val="center"/>
        </w:pPr>
        <w:r>
          <w:fldChar w:fldCharType="begin"/>
        </w:r>
        <w:r>
          <w:instrText xml:space="preserve"> PAGE   \* MERGEFORMAT </w:instrText>
        </w:r>
        <w:r>
          <w:fldChar w:fldCharType="separate"/>
        </w:r>
        <w:r w:rsidR="00465E52">
          <w:rPr>
            <w:noProof/>
          </w:rPr>
          <w:t>8</w:t>
        </w:r>
        <w:r>
          <w:rPr>
            <w:noProof/>
          </w:rPr>
          <w:fldChar w:fldCharType="end"/>
        </w:r>
      </w:p>
    </w:sdtContent>
  </w:sdt>
  <w:p w:rsidR="002577D9" w:rsidRDefault="00257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82490"/>
    <w:multiLevelType w:val="hybridMultilevel"/>
    <w:tmpl w:val="664E3306"/>
    <w:lvl w:ilvl="0" w:tplc="C17EB9B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291EE9"/>
    <w:multiLevelType w:val="hybridMultilevel"/>
    <w:tmpl w:val="6CF44CC6"/>
    <w:lvl w:ilvl="0" w:tplc="A26C9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061A45"/>
    <w:multiLevelType w:val="hybridMultilevel"/>
    <w:tmpl w:val="89367842"/>
    <w:lvl w:ilvl="0" w:tplc="00FC2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094A28"/>
    <w:multiLevelType w:val="hybridMultilevel"/>
    <w:tmpl w:val="070E1E04"/>
    <w:lvl w:ilvl="0" w:tplc="61C66CB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0C66C6"/>
    <w:multiLevelType w:val="hybridMultilevel"/>
    <w:tmpl w:val="052CBA20"/>
    <w:lvl w:ilvl="0" w:tplc="D3A86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D9"/>
    <w:rsid w:val="00006356"/>
    <w:rsid w:val="00010649"/>
    <w:rsid w:val="00011A14"/>
    <w:rsid w:val="00013ED9"/>
    <w:rsid w:val="00015CAC"/>
    <w:rsid w:val="00016B99"/>
    <w:rsid w:val="00032846"/>
    <w:rsid w:val="00036749"/>
    <w:rsid w:val="00052202"/>
    <w:rsid w:val="0005283F"/>
    <w:rsid w:val="00056870"/>
    <w:rsid w:val="000841AC"/>
    <w:rsid w:val="00094550"/>
    <w:rsid w:val="00094582"/>
    <w:rsid w:val="000962C7"/>
    <w:rsid w:val="000A1454"/>
    <w:rsid w:val="000B519B"/>
    <w:rsid w:val="000D5CB1"/>
    <w:rsid w:val="000F23C4"/>
    <w:rsid w:val="000F5FC0"/>
    <w:rsid w:val="001003F6"/>
    <w:rsid w:val="00104269"/>
    <w:rsid w:val="00110D09"/>
    <w:rsid w:val="001170D2"/>
    <w:rsid w:val="00132419"/>
    <w:rsid w:val="00135C54"/>
    <w:rsid w:val="001366CD"/>
    <w:rsid w:val="0013754B"/>
    <w:rsid w:val="00137F70"/>
    <w:rsid w:val="0014011B"/>
    <w:rsid w:val="00142252"/>
    <w:rsid w:val="00145433"/>
    <w:rsid w:val="001564E5"/>
    <w:rsid w:val="00175D72"/>
    <w:rsid w:val="00181AF0"/>
    <w:rsid w:val="001876CE"/>
    <w:rsid w:val="0019147D"/>
    <w:rsid w:val="0019764B"/>
    <w:rsid w:val="001A2F68"/>
    <w:rsid w:val="001B004D"/>
    <w:rsid w:val="001B663B"/>
    <w:rsid w:val="001D3D43"/>
    <w:rsid w:val="001D57C1"/>
    <w:rsid w:val="0020216E"/>
    <w:rsid w:val="002039A1"/>
    <w:rsid w:val="0020495C"/>
    <w:rsid w:val="00210F07"/>
    <w:rsid w:val="00216AA7"/>
    <w:rsid w:val="00217B6A"/>
    <w:rsid w:val="00217DA1"/>
    <w:rsid w:val="00222E07"/>
    <w:rsid w:val="00223DC6"/>
    <w:rsid w:val="002319AF"/>
    <w:rsid w:val="002333C0"/>
    <w:rsid w:val="00236433"/>
    <w:rsid w:val="00250985"/>
    <w:rsid w:val="002577D9"/>
    <w:rsid w:val="0026579B"/>
    <w:rsid w:val="00271F6E"/>
    <w:rsid w:val="00274462"/>
    <w:rsid w:val="00275F3F"/>
    <w:rsid w:val="00284B8A"/>
    <w:rsid w:val="002C48B8"/>
    <w:rsid w:val="002C6704"/>
    <w:rsid w:val="002C6E0A"/>
    <w:rsid w:val="002F0D62"/>
    <w:rsid w:val="002F350A"/>
    <w:rsid w:val="002F6E32"/>
    <w:rsid w:val="002F745A"/>
    <w:rsid w:val="003038A5"/>
    <w:rsid w:val="00310072"/>
    <w:rsid w:val="00313B82"/>
    <w:rsid w:val="00322DEC"/>
    <w:rsid w:val="003254A9"/>
    <w:rsid w:val="00326B44"/>
    <w:rsid w:val="00330FFD"/>
    <w:rsid w:val="00340920"/>
    <w:rsid w:val="00340929"/>
    <w:rsid w:val="00342087"/>
    <w:rsid w:val="00356808"/>
    <w:rsid w:val="00357833"/>
    <w:rsid w:val="003602B7"/>
    <w:rsid w:val="003674B7"/>
    <w:rsid w:val="00373C6C"/>
    <w:rsid w:val="00380E0C"/>
    <w:rsid w:val="00395B8B"/>
    <w:rsid w:val="003B0F6B"/>
    <w:rsid w:val="003B4D4F"/>
    <w:rsid w:val="003C2B31"/>
    <w:rsid w:val="003E05D1"/>
    <w:rsid w:val="003E169B"/>
    <w:rsid w:val="003F3426"/>
    <w:rsid w:val="003F3E70"/>
    <w:rsid w:val="00406766"/>
    <w:rsid w:val="004206D0"/>
    <w:rsid w:val="004223BD"/>
    <w:rsid w:val="00422526"/>
    <w:rsid w:val="004302D4"/>
    <w:rsid w:val="004422BF"/>
    <w:rsid w:val="00453FCE"/>
    <w:rsid w:val="00462646"/>
    <w:rsid w:val="00465E52"/>
    <w:rsid w:val="00477085"/>
    <w:rsid w:val="004806C5"/>
    <w:rsid w:val="004832C0"/>
    <w:rsid w:val="0049492E"/>
    <w:rsid w:val="004E1B2C"/>
    <w:rsid w:val="004E2503"/>
    <w:rsid w:val="004E37A5"/>
    <w:rsid w:val="004E7551"/>
    <w:rsid w:val="005077C7"/>
    <w:rsid w:val="00507922"/>
    <w:rsid w:val="005111DB"/>
    <w:rsid w:val="00511358"/>
    <w:rsid w:val="00516FAC"/>
    <w:rsid w:val="00522ED4"/>
    <w:rsid w:val="00534DAE"/>
    <w:rsid w:val="00536BED"/>
    <w:rsid w:val="00542077"/>
    <w:rsid w:val="0054552D"/>
    <w:rsid w:val="005528D8"/>
    <w:rsid w:val="0055364E"/>
    <w:rsid w:val="005536D6"/>
    <w:rsid w:val="0056388E"/>
    <w:rsid w:val="00583E0D"/>
    <w:rsid w:val="00584D35"/>
    <w:rsid w:val="005A0288"/>
    <w:rsid w:val="005B504D"/>
    <w:rsid w:val="005B6314"/>
    <w:rsid w:val="005C135E"/>
    <w:rsid w:val="005C1600"/>
    <w:rsid w:val="005C2F72"/>
    <w:rsid w:val="005D27E4"/>
    <w:rsid w:val="005F3EA4"/>
    <w:rsid w:val="005F5D85"/>
    <w:rsid w:val="00601CE0"/>
    <w:rsid w:val="00604F40"/>
    <w:rsid w:val="00607884"/>
    <w:rsid w:val="0061628C"/>
    <w:rsid w:val="00625703"/>
    <w:rsid w:val="0062606B"/>
    <w:rsid w:val="00627C8D"/>
    <w:rsid w:val="0064013D"/>
    <w:rsid w:val="0066083A"/>
    <w:rsid w:val="0067325C"/>
    <w:rsid w:val="0069311C"/>
    <w:rsid w:val="00696835"/>
    <w:rsid w:val="006B2F54"/>
    <w:rsid w:val="006C31F4"/>
    <w:rsid w:val="006C79C8"/>
    <w:rsid w:val="006D5585"/>
    <w:rsid w:val="006E26E3"/>
    <w:rsid w:val="006E7A42"/>
    <w:rsid w:val="006F465C"/>
    <w:rsid w:val="00707F5E"/>
    <w:rsid w:val="00723AD4"/>
    <w:rsid w:val="00727231"/>
    <w:rsid w:val="007435E5"/>
    <w:rsid w:val="0076031F"/>
    <w:rsid w:val="00774D68"/>
    <w:rsid w:val="0078346C"/>
    <w:rsid w:val="007946A8"/>
    <w:rsid w:val="00796557"/>
    <w:rsid w:val="007A3519"/>
    <w:rsid w:val="007A792F"/>
    <w:rsid w:val="007B5904"/>
    <w:rsid w:val="007C74A1"/>
    <w:rsid w:val="007E3A47"/>
    <w:rsid w:val="007E709E"/>
    <w:rsid w:val="007E77AD"/>
    <w:rsid w:val="007F0AFB"/>
    <w:rsid w:val="007F5EA3"/>
    <w:rsid w:val="00801ACC"/>
    <w:rsid w:val="008029B9"/>
    <w:rsid w:val="00810840"/>
    <w:rsid w:val="0083531B"/>
    <w:rsid w:val="008442C0"/>
    <w:rsid w:val="00844A5F"/>
    <w:rsid w:val="00845278"/>
    <w:rsid w:val="008456B0"/>
    <w:rsid w:val="008517FD"/>
    <w:rsid w:val="008549F1"/>
    <w:rsid w:val="00856F33"/>
    <w:rsid w:val="00873E65"/>
    <w:rsid w:val="008854AD"/>
    <w:rsid w:val="008872F9"/>
    <w:rsid w:val="00891E07"/>
    <w:rsid w:val="0089201E"/>
    <w:rsid w:val="00893A48"/>
    <w:rsid w:val="00894005"/>
    <w:rsid w:val="008A4262"/>
    <w:rsid w:val="008A7AF6"/>
    <w:rsid w:val="008B24FC"/>
    <w:rsid w:val="008B2E3D"/>
    <w:rsid w:val="008B7FB0"/>
    <w:rsid w:val="008C1884"/>
    <w:rsid w:val="008C209A"/>
    <w:rsid w:val="008C4032"/>
    <w:rsid w:val="008D4840"/>
    <w:rsid w:val="008D51ED"/>
    <w:rsid w:val="008D7C9D"/>
    <w:rsid w:val="008E0E41"/>
    <w:rsid w:val="008E2539"/>
    <w:rsid w:val="00931D84"/>
    <w:rsid w:val="009330C4"/>
    <w:rsid w:val="00936DBF"/>
    <w:rsid w:val="0094162E"/>
    <w:rsid w:val="0094754D"/>
    <w:rsid w:val="00967123"/>
    <w:rsid w:val="00976932"/>
    <w:rsid w:val="0099063F"/>
    <w:rsid w:val="009B1DDA"/>
    <w:rsid w:val="009C162A"/>
    <w:rsid w:val="009E740C"/>
    <w:rsid w:val="009F37B4"/>
    <w:rsid w:val="009F4BB8"/>
    <w:rsid w:val="00A03A07"/>
    <w:rsid w:val="00A176A4"/>
    <w:rsid w:val="00A22FB9"/>
    <w:rsid w:val="00A319D6"/>
    <w:rsid w:val="00A32AC4"/>
    <w:rsid w:val="00A35681"/>
    <w:rsid w:val="00A36E3F"/>
    <w:rsid w:val="00A42529"/>
    <w:rsid w:val="00A613C5"/>
    <w:rsid w:val="00A708CA"/>
    <w:rsid w:val="00A71D22"/>
    <w:rsid w:val="00A733C6"/>
    <w:rsid w:val="00AA0AE7"/>
    <w:rsid w:val="00AA3F5A"/>
    <w:rsid w:val="00AB51E4"/>
    <w:rsid w:val="00AE46C9"/>
    <w:rsid w:val="00AE5D18"/>
    <w:rsid w:val="00AF30F8"/>
    <w:rsid w:val="00AF4FC9"/>
    <w:rsid w:val="00AF7C5E"/>
    <w:rsid w:val="00B01968"/>
    <w:rsid w:val="00B04873"/>
    <w:rsid w:val="00B15223"/>
    <w:rsid w:val="00B20E8D"/>
    <w:rsid w:val="00B27ACF"/>
    <w:rsid w:val="00B33DEF"/>
    <w:rsid w:val="00B41F6F"/>
    <w:rsid w:val="00B4279A"/>
    <w:rsid w:val="00B4419E"/>
    <w:rsid w:val="00B61CDC"/>
    <w:rsid w:val="00B74EDF"/>
    <w:rsid w:val="00B8162F"/>
    <w:rsid w:val="00B83E31"/>
    <w:rsid w:val="00B911E2"/>
    <w:rsid w:val="00B929DE"/>
    <w:rsid w:val="00BA119B"/>
    <w:rsid w:val="00BB00BF"/>
    <w:rsid w:val="00BC73A5"/>
    <w:rsid w:val="00BD3DFF"/>
    <w:rsid w:val="00BD7411"/>
    <w:rsid w:val="00C11CDF"/>
    <w:rsid w:val="00C15674"/>
    <w:rsid w:val="00C1780B"/>
    <w:rsid w:val="00C23A45"/>
    <w:rsid w:val="00C25EA8"/>
    <w:rsid w:val="00C2632B"/>
    <w:rsid w:val="00C50C65"/>
    <w:rsid w:val="00C54DFB"/>
    <w:rsid w:val="00C560BD"/>
    <w:rsid w:val="00C66FB9"/>
    <w:rsid w:val="00C73668"/>
    <w:rsid w:val="00C736D4"/>
    <w:rsid w:val="00C75014"/>
    <w:rsid w:val="00C75B35"/>
    <w:rsid w:val="00C935F9"/>
    <w:rsid w:val="00C96BC8"/>
    <w:rsid w:val="00C977AD"/>
    <w:rsid w:val="00CA1757"/>
    <w:rsid w:val="00CA3F57"/>
    <w:rsid w:val="00CA74D2"/>
    <w:rsid w:val="00CC692E"/>
    <w:rsid w:val="00CD0951"/>
    <w:rsid w:val="00CD2D99"/>
    <w:rsid w:val="00CD72D2"/>
    <w:rsid w:val="00CE3CA3"/>
    <w:rsid w:val="00CE5703"/>
    <w:rsid w:val="00CF63CD"/>
    <w:rsid w:val="00D07570"/>
    <w:rsid w:val="00D16E85"/>
    <w:rsid w:val="00D22C30"/>
    <w:rsid w:val="00D47FCE"/>
    <w:rsid w:val="00D61A81"/>
    <w:rsid w:val="00D656D0"/>
    <w:rsid w:val="00D66E5E"/>
    <w:rsid w:val="00D979C5"/>
    <w:rsid w:val="00DA5C03"/>
    <w:rsid w:val="00DA6E0A"/>
    <w:rsid w:val="00DC0839"/>
    <w:rsid w:val="00DC16C6"/>
    <w:rsid w:val="00DC30DF"/>
    <w:rsid w:val="00DC3B0A"/>
    <w:rsid w:val="00DD30FA"/>
    <w:rsid w:val="00DD7590"/>
    <w:rsid w:val="00DE5812"/>
    <w:rsid w:val="00E00A65"/>
    <w:rsid w:val="00E03DCF"/>
    <w:rsid w:val="00E03F5B"/>
    <w:rsid w:val="00E108BA"/>
    <w:rsid w:val="00E218F2"/>
    <w:rsid w:val="00E3114E"/>
    <w:rsid w:val="00E37944"/>
    <w:rsid w:val="00E37EB3"/>
    <w:rsid w:val="00E42809"/>
    <w:rsid w:val="00E475A8"/>
    <w:rsid w:val="00E60532"/>
    <w:rsid w:val="00E60F5B"/>
    <w:rsid w:val="00E64ADB"/>
    <w:rsid w:val="00E64EB5"/>
    <w:rsid w:val="00E775E8"/>
    <w:rsid w:val="00E7773F"/>
    <w:rsid w:val="00E82365"/>
    <w:rsid w:val="00E8409D"/>
    <w:rsid w:val="00E94E04"/>
    <w:rsid w:val="00E97535"/>
    <w:rsid w:val="00EA0B1F"/>
    <w:rsid w:val="00EA4ECE"/>
    <w:rsid w:val="00EB3A06"/>
    <w:rsid w:val="00EC0520"/>
    <w:rsid w:val="00EC1A6C"/>
    <w:rsid w:val="00EC1FA2"/>
    <w:rsid w:val="00ED5E82"/>
    <w:rsid w:val="00EF41AC"/>
    <w:rsid w:val="00F06D41"/>
    <w:rsid w:val="00F272FA"/>
    <w:rsid w:val="00F33908"/>
    <w:rsid w:val="00F45290"/>
    <w:rsid w:val="00F52B05"/>
    <w:rsid w:val="00F55021"/>
    <w:rsid w:val="00F615B9"/>
    <w:rsid w:val="00F83A2A"/>
    <w:rsid w:val="00F8637E"/>
    <w:rsid w:val="00F933B0"/>
    <w:rsid w:val="00FA1FFC"/>
    <w:rsid w:val="00FA2A89"/>
    <w:rsid w:val="00FA7FCA"/>
    <w:rsid w:val="00FB135A"/>
    <w:rsid w:val="00FB430F"/>
    <w:rsid w:val="00FD1DFC"/>
    <w:rsid w:val="00FD1FDA"/>
    <w:rsid w:val="00FD7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456A-A4F9-46D5-8772-E7FEAF02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7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1600"/>
    <w:pPr>
      <w:keepNext/>
      <w:spacing w:before="240" w:after="60" w:line="276" w:lineRule="auto"/>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7D9"/>
    <w:pPr>
      <w:tabs>
        <w:tab w:val="center" w:pos="4513"/>
        <w:tab w:val="right" w:pos="9026"/>
      </w:tabs>
    </w:pPr>
  </w:style>
  <w:style w:type="character" w:customStyle="1" w:styleId="HeaderChar">
    <w:name w:val="Header Char"/>
    <w:basedOn w:val="DefaultParagraphFont"/>
    <w:link w:val="Header"/>
    <w:uiPriority w:val="99"/>
    <w:rsid w:val="002577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77D9"/>
    <w:pPr>
      <w:tabs>
        <w:tab w:val="center" w:pos="4513"/>
        <w:tab w:val="right" w:pos="9026"/>
      </w:tabs>
    </w:pPr>
  </w:style>
  <w:style w:type="character" w:customStyle="1" w:styleId="FooterChar">
    <w:name w:val="Footer Char"/>
    <w:basedOn w:val="DefaultParagraphFont"/>
    <w:link w:val="Footer"/>
    <w:uiPriority w:val="99"/>
    <w:rsid w:val="002577D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11CDF"/>
    <w:rPr>
      <w:rFonts w:ascii="Tahoma" w:hAnsi="Tahoma" w:cs="Tahoma"/>
      <w:sz w:val="16"/>
      <w:szCs w:val="16"/>
    </w:rPr>
  </w:style>
  <w:style w:type="character" w:customStyle="1" w:styleId="BalloonTextChar">
    <w:name w:val="Balloon Text Char"/>
    <w:basedOn w:val="DefaultParagraphFont"/>
    <w:link w:val="BalloonText"/>
    <w:uiPriority w:val="99"/>
    <w:semiHidden/>
    <w:rsid w:val="00C11CDF"/>
    <w:rPr>
      <w:rFonts w:ascii="Tahoma" w:eastAsia="Times New Roman" w:hAnsi="Tahoma" w:cs="Tahoma"/>
      <w:sz w:val="16"/>
      <w:szCs w:val="16"/>
      <w:lang w:val="en-US"/>
    </w:rPr>
  </w:style>
  <w:style w:type="paragraph" w:styleId="ListParagraph">
    <w:name w:val="List Paragraph"/>
    <w:basedOn w:val="Normal"/>
    <w:uiPriority w:val="34"/>
    <w:qFormat/>
    <w:rsid w:val="0049492E"/>
    <w:pPr>
      <w:ind w:left="720"/>
      <w:contextualSpacing/>
    </w:pPr>
  </w:style>
  <w:style w:type="paragraph" w:styleId="NormalWeb">
    <w:name w:val="Normal (Web)"/>
    <w:basedOn w:val="Normal"/>
    <w:uiPriority w:val="99"/>
    <w:unhideWhenUsed/>
    <w:rsid w:val="004E37A5"/>
    <w:pPr>
      <w:spacing w:before="100" w:beforeAutospacing="1" w:after="100" w:afterAutospacing="1"/>
    </w:pPr>
  </w:style>
  <w:style w:type="character" w:styleId="Hyperlink">
    <w:name w:val="Hyperlink"/>
    <w:basedOn w:val="DefaultParagraphFont"/>
    <w:uiPriority w:val="99"/>
    <w:unhideWhenUsed/>
    <w:rsid w:val="008C1884"/>
    <w:rPr>
      <w:color w:val="0000FF"/>
      <w:u w:val="single"/>
    </w:rPr>
  </w:style>
  <w:style w:type="character" w:customStyle="1" w:styleId="Heading1Char">
    <w:name w:val="Heading 1 Char"/>
    <w:basedOn w:val="DefaultParagraphFont"/>
    <w:link w:val="Heading1"/>
    <w:uiPriority w:val="9"/>
    <w:rsid w:val="005C1600"/>
    <w:rPr>
      <w:rFonts w:ascii="Times New Roman" w:eastAsia="Times New Roman" w:hAnsi="Times New Roman" w:cs="Times New Roman"/>
      <w:b/>
      <w:bCs/>
      <w:kern w:val="32"/>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316">
      <w:bodyDiv w:val="1"/>
      <w:marLeft w:val="0"/>
      <w:marRight w:val="0"/>
      <w:marTop w:val="0"/>
      <w:marBottom w:val="0"/>
      <w:divBdr>
        <w:top w:val="none" w:sz="0" w:space="0" w:color="auto"/>
        <w:left w:val="none" w:sz="0" w:space="0" w:color="auto"/>
        <w:bottom w:val="none" w:sz="0" w:space="0" w:color="auto"/>
        <w:right w:val="none" w:sz="0" w:space="0" w:color="auto"/>
      </w:divBdr>
    </w:div>
    <w:div w:id="281962586">
      <w:bodyDiv w:val="1"/>
      <w:marLeft w:val="0"/>
      <w:marRight w:val="0"/>
      <w:marTop w:val="0"/>
      <w:marBottom w:val="0"/>
      <w:divBdr>
        <w:top w:val="none" w:sz="0" w:space="0" w:color="auto"/>
        <w:left w:val="none" w:sz="0" w:space="0" w:color="auto"/>
        <w:bottom w:val="none" w:sz="0" w:space="0" w:color="auto"/>
        <w:right w:val="none" w:sz="0" w:space="0" w:color="auto"/>
      </w:divBdr>
    </w:div>
    <w:div w:id="656960433">
      <w:bodyDiv w:val="1"/>
      <w:marLeft w:val="0"/>
      <w:marRight w:val="0"/>
      <w:marTop w:val="0"/>
      <w:marBottom w:val="0"/>
      <w:divBdr>
        <w:top w:val="none" w:sz="0" w:space="0" w:color="auto"/>
        <w:left w:val="none" w:sz="0" w:space="0" w:color="auto"/>
        <w:bottom w:val="none" w:sz="0" w:space="0" w:color="auto"/>
        <w:right w:val="none" w:sz="0" w:space="0" w:color="auto"/>
      </w:divBdr>
    </w:div>
    <w:div w:id="795411251">
      <w:bodyDiv w:val="1"/>
      <w:marLeft w:val="0"/>
      <w:marRight w:val="0"/>
      <w:marTop w:val="0"/>
      <w:marBottom w:val="0"/>
      <w:divBdr>
        <w:top w:val="none" w:sz="0" w:space="0" w:color="auto"/>
        <w:left w:val="none" w:sz="0" w:space="0" w:color="auto"/>
        <w:bottom w:val="none" w:sz="0" w:space="0" w:color="auto"/>
        <w:right w:val="none" w:sz="0" w:space="0" w:color="auto"/>
      </w:divBdr>
    </w:div>
    <w:div w:id="990255664">
      <w:bodyDiv w:val="1"/>
      <w:marLeft w:val="0"/>
      <w:marRight w:val="0"/>
      <w:marTop w:val="0"/>
      <w:marBottom w:val="0"/>
      <w:divBdr>
        <w:top w:val="none" w:sz="0" w:space="0" w:color="auto"/>
        <w:left w:val="none" w:sz="0" w:space="0" w:color="auto"/>
        <w:bottom w:val="none" w:sz="0" w:space="0" w:color="auto"/>
        <w:right w:val="none" w:sz="0" w:space="0" w:color="auto"/>
      </w:divBdr>
    </w:div>
    <w:div w:id="1226647458">
      <w:bodyDiv w:val="1"/>
      <w:marLeft w:val="0"/>
      <w:marRight w:val="0"/>
      <w:marTop w:val="0"/>
      <w:marBottom w:val="0"/>
      <w:divBdr>
        <w:top w:val="none" w:sz="0" w:space="0" w:color="auto"/>
        <w:left w:val="none" w:sz="0" w:space="0" w:color="auto"/>
        <w:bottom w:val="none" w:sz="0" w:space="0" w:color="auto"/>
        <w:right w:val="none" w:sz="0" w:space="0" w:color="auto"/>
      </w:divBdr>
    </w:div>
    <w:div w:id="1417166650">
      <w:bodyDiv w:val="1"/>
      <w:marLeft w:val="0"/>
      <w:marRight w:val="0"/>
      <w:marTop w:val="0"/>
      <w:marBottom w:val="0"/>
      <w:divBdr>
        <w:top w:val="none" w:sz="0" w:space="0" w:color="auto"/>
        <w:left w:val="none" w:sz="0" w:space="0" w:color="auto"/>
        <w:bottom w:val="none" w:sz="0" w:space="0" w:color="auto"/>
        <w:right w:val="none" w:sz="0" w:space="0" w:color="auto"/>
      </w:divBdr>
    </w:div>
    <w:div w:id="1570071399">
      <w:bodyDiv w:val="1"/>
      <w:marLeft w:val="0"/>
      <w:marRight w:val="0"/>
      <w:marTop w:val="0"/>
      <w:marBottom w:val="0"/>
      <w:divBdr>
        <w:top w:val="none" w:sz="0" w:space="0" w:color="auto"/>
        <w:left w:val="none" w:sz="0" w:space="0" w:color="auto"/>
        <w:bottom w:val="none" w:sz="0" w:space="0" w:color="auto"/>
        <w:right w:val="none" w:sz="0" w:space="0" w:color="auto"/>
      </w:divBdr>
    </w:div>
    <w:div w:id="1593276897">
      <w:bodyDiv w:val="1"/>
      <w:marLeft w:val="0"/>
      <w:marRight w:val="0"/>
      <w:marTop w:val="0"/>
      <w:marBottom w:val="0"/>
      <w:divBdr>
        <w:top w:val="none" w:sz="0" w:space="0" w:color="auto"/>
        <w:left w:val="none" w:sz="0" w:space="0" w:color="auto"/>
        <w:bottom w:val="none" w:sz="0" w:space="0" w:color="auto"/>
        <w:right w:val="none" w:sz="0" w:space="0" w:color="auto"/>
      </w:divBdr>
    </w:div>
    <w:div w:id="1753429856">
      <w:bodyDiv w:val="1"/>
      <w:marLeft w:val="0"/>
      <w:marRight w:val="0"/>
      <w:marTop w:val="0"/>
      <w:marBottom w:val="0"/>
      <w:divBdr>
        <w:top w:val="none" w:sz="0" w:space="0" w:color="auto"/>
        <w:left w:val="none" w:sz="0" w:space="0" w:color="auto"/>
        <w:bottom w:val="none" w:sz="0" w:space="0" w:color="auto"/>
        <w:right w:val="none" w:sz="0" w:space="0" w:color="auto"/>
      </w:divBdr>
    </w:div>
    <w:div w:id="20070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11DD9-F9E5-4332-BD2A-96A49E8AB43C}">
  <ds:schemaRefs>
    <ds:schemaRef ds:uri="http://schemas.microsoft.com/sharepoint/v3/contenttype/forms"/>
  </ds:schemaRefs>
</ds:datastoreItem>
</file>

<file path=customXml/itemProps2.xml><?xml version="1.0" encoding="utf-8"?>
<ds:datastoreItem xmlns:ds="http://schemas.openxmlformats.org/officeDocument/2006/customXml" ds:itemID="{8BF662CC-E888-4DDE-B374-CE63BADE7E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11348-978C-469C-B2F1-7AFAB5748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Khanh Tai (TTGSNH)</dc:creator>
  <cp:lastModifiedBy>Ngo Thi Hoai Thu (TTGSNH)</cp:lastModifiedBy>
  <cp:revision>4</cp:revision>
  <cp:lastPrinted>2024-06-25T03:35:00Z</cp:lastPrinted>
  <dcterms:created xsi:type="dcterms:W3CDTF">2024-07-01T08:08:00Z</dcterms:created>
  <dcterms:modified xsi:type="dcterms:W3CDTF">2024-07-01T08:16:00Z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